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F" w:rsidRDefault="00393F0A" w:rsidP="00393F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826518" w:rsidRDefault="00826518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11D" w:rsidRPr="00393F0A" w:rsidRDefault="006912FC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коллеги, обращаем Ваше внимание на то, что авторами и соавторами тезисов могут быть только ученые в возрасте до 40 лет. Научный руководитель работы (при наличии) будет указан в публикации отдельной строкой.</w:t>
      </w:r>
    </w:p>
    <w:p w:rsidR="006912FC" w:rsidRDefault="006912FC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1D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 xml:space="preserve">Подача тезисов для опубликования не является заявкой на выступление с докладом. </w:t>
      </w:r>
    </w:p>
    <w:p w:rsidR="006D211D" w:rsidRPr="00393F0A" w:rsidRDefault="006D211D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ОБЪЕМ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393F0A">
        <w:rPr>
          <w:rFonts w:ascii="Times New Roman" w:hAnsi="Times New Roman" w:cs="Times New Roman"/>
          <w:sz w:val="24"/>
          <w:szCs w:val="24"/>
        </w:rPr>
        <w:t>– не более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5E55BF">
        <w:rPr>
          <w:rFonts w:ascii="Times New Roman" w:hAnsi="Times New Roman" w:cs="Times New Roman"/>
          <w:sz w:val="24"/>
          <w:szCs w:val="24"/>
        </w:rPr>
        <w:t>4</w:t>
      </w:r>
      <w:r w:rsidRPr="00393F0A">
        <w:rPr>
          <w:rFonts w:ascii="Times New Roman" w:hAnsi="Times New Roman" w:cs="Times New Roman"/>
          <w:sz w:val="24"/>
          <w:szCs w:val="24"/>
        </w:rPr>
        <w:t xml:space="preserve"> печатных страниц формата А4</w:t>
      </w:r>
      <w:r w:rsidR="003C1EDE" w:rsidRPr="00393F0A">
        <w:rPr>
          <w:rFonts w:ascii="Times New Roman" w:hAnsi="Times New Roman" w:cs="Times New Roman"/>
          <w:sz w:val="24"/>
          <w:szCs w:val="24"/>
        </w:rPr>
        <w:t>,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393F0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9083F" w:rsidRPr="00393F0A">
        <w:rPr>
          <w:rFonts w:ascii="Times New Roman" w:hAnsi="Times New Roman" w:cs="Times New Roman"/>
          <w:sz w:val="24"/>
          <w:szCs w:val="24"/>
        </w:rPr>
        <w:t xml:space="preserve">, кегль 12, </w:t>
      </w:r>
      <w:r w:rsidRPr="00393F0A">
        <w:rPr>
          <w:rFonts w:ascii="Times New Roman" w:hAnsi="Times New Roman" w:cs="Times New Roman"/>
          <w:sz w:val="24"/>
          <w:szCs w:val="24"/>
        </w:rPr>
        <w:t xml:space="preserve">межстрочный интервал 1,5, </w:t>
      </w:r>
      <w:r w:rsidR="005E55BF">
        <w:rPr>
          <w:rFonts w:ascii="Times New Roman" w:hAnsi="Times New Roman" w:cs="Times New Roman"/>
          <w:sz w:val="24"/>
          <w:szCs w:val="24"/>
        </w:rPr>
        <w:t xml:space="preserve">поля стандартные, </w:t>
      </w:r>
      <w:r w:rsidR="0079083F" w:rsidRPr="00393F0A">
        <w:rPr>
          <w:rFonts w:ascii="Times New Roman" w:hAnsi="Times New Roman" w:cs="Times New Roman"/>
          <w:sz w:val="24"/>
          <w:szCs w:val="24"/>
        </w:rPr>
        <w:t>выравнивание «по ширине»</w:t>
      </w:r>
      <w:r w:rsidR="00176662">
        <w:rPr>
          <w:rFonts w:ascii="Times New Roman" w:hAnsi="Times New Roman" w:cs="Times New Roman"/>
          <w:sz w:val="24"/>
          <w:szCs w:val="24"/>
        </w:rPr>
        <w:t>, пере</w:t>
      </w:r>
      <w:bookmarkStart w:id="0" w:name="_GoBack"/>
      <w:bookmarkEnd w:id="0"/>
      <w:r w:rsidR="00176662">
        <w:rPr>
          <w:rFonts w:ascii="Times New Roman" w:hAnsi="Times New Roman" w:cs="Times New Roman"/>
          <w:sz w:val="24"/>
          <w:szCs w:val="24"/>
        </w:rPr>
        <w:t>нос слов – автоматический.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79083F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1</w:t>
      </w:r>
      <w:r w:rsidR="006D211D" w:rsidRPr="00393F0A">
        <w:rPr>
          <w:rFonts w:ascii="Times New Roman" w:hAnsi="Times New Roman" w:cs="Times New Roman"/>
          <w:sz w:val="24"/>
          <w:szCs w:val="24"/>
        </w:rPr>
        <w:t>:</w:t>
      </w:r>
      <w:r w:rsidR="00393F0A">
        <w:rPr>
          <w:rFonts w:ascii="Times New Roman" w:hAnsi="Times New Roman" w:cs="Times New Roman"/>
          <w:sz w:val="24"/>
          <w:szCs w:val="24"/>
        </w:rPr>
        <w:t xml:space="preserve"> заголовок -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прописные буквы </w:t>
      </w:r>
      <w:r w:rsidR="008378F7" w:rsidRPr="00393F0A">
        <w:rPr>
          <w:rFonts w:ascii="Times New Roman" w:hAnsi="Times New Roman" w:cs="Times New Roman"/>
          <w:sz w:val="24"/>
          <w:szCs w:val="24"/>
        </w:rPr>
        <w:t>жирным шрифтом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6D211D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2</w:t>
      </w:r>
      <w:r w:rsidR="003C1EDE" w:rsidRPr="00393F0A">
        <w:rPr>
          <w:rFonts w:ascii="Times New Roman" w:hAnsi="Times New Roman" w:cs="Times New Roman"/>
          <w:sz w:val="24"/>
          <w:szCs w:val="24"/>
        </w:rPr>
        <w:t>: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фамилии и инициалы авторов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жирным шрифтом </w:t>
      </w:r>
    </w:p>
    <w:p w:rsidR="00F26A86" w:rsidRPr="00393F0A" w:rsidRDefault="00F26A86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</w:t>
      </w:r>
      <w:r w:rsidR="003C1EDE" w:rsidRPr="00393F0A">
        <w:rPr>
          <w:rFonts w:ascii="Times New Roman" w:hAnsi="Times New Roman" w:cs="Times New Roman"/>
          <w:sz w:val="24"/>
          <w:szCs w:val="24"/>
        </w:rPr>
        <w:t>трока</w:t>
      </w:r>
      <w:r w:rsidRPr="00393F0A">
        <w:rPr>
          <w:rFonts w:ascii="Times New Roman" w:hAnsi="Times New Roman" w:cs="Times New Roman"/>
          <w:sz w:val="24"/>
          <w:szCs w:val="24"/>
        </w:rPr>
        <w:t xml:space="preserve"> 3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: </w:t>
      </w:r>
      <w:r w:rsidR="006912F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название учреждения (без указания кафедры </w:t>
      </w:r>
      <w:r w:rsidR="003C1EDE" w:rsidRPr="00393F0A">
        <w:rPr>
          <w:rFonts w:ascii="Times New Roman" w:hAnsi="Times New Roman" w:cs="Times New Roman"/>
          <w:sz w:val="24"/>
          <w:szCs w:val="24"/>
        </w:rPr>
        <w:t>или отдела) с указанием города и страны</w:t>
      </w:r>
      <w:r w:rsidR="00393F0A">
        <w:rPr>
          <w:rFonts w:ascii="Times New Roman" w:hAnsi="Times New Roman" w:cs="Times New Roman"/>
          <w:sz w:val="24"/>
          <w:szCs w:val="24"/>
        </w:rPr>
        <w:t xml:space="preserve"> -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курсивом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Авторы, работающие </w:t>
      </w:r>
      <w:r w:rsidR="0079083F" w:rsidRPr="00393F0A">
        <w:rPr>
          <w:rFonts w:ascii="Times New Roman" w:hAnsi="Times New Roman" w:cs="Times New Roman"/>
          <w:sz w:val="24"/>
          <w:szCs w:val="24"/>
        </w:rPr>
        <w:t>в разных учреждениях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, нумеруются цифрами 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(1, 2 и т.д.) после </w:t>
      </w:r>
      <w:r w:rsidR="008378F7" w:rsidRPr="00393F0A">
        <w:rPr>
          <w:rFonts w:ascii="Times New Roman" w:hAnsi="Times New Roman" w:cs="Times New Roman"/>
          <w:sz w:val="24"/>
          <w:szCs w:val="24"/>
        </w:rPr>
        <w:t>инициалов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 в соответствии с названием учреждения</w:t>
      </w:r>
      <w:r w:rsidR="00393F0A">
        <w:rPr>
          <w:rFonts w:ascii="Times New Roman" w:hAnsi="Times New Roman" w:cs="Times New Roman"/>
          <w:sz w:val="24"/>
          <w:szCs w:val="24"/>
        </w:rPr>
        <w:t>.</w:t>
      </w:r>
      <w:r w:rsidR="0079083F" w:rsidRPr="0039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>Символы и сокращения при первом их использовании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расшифровываются</w:t>
      </w:r>
      <w:r w:rsidRPr="00393F0A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393F0A">
        <w:rPr>
          <w:rFonts w:ascii="Times New Roman" w:hAnsi="Times New Roman" w:cs="Times New Roman"/>
          <w:sz w:val="24"/>
          <w:szCs w:val="24"/>
        </w:rPr>
        <w:t xml:space="preserve">В заголовке сокращения не допускаются. </w:t>
      </w:r>
      <w:r w:rsidR="00F26A86" w:rsidRPr="00393F0A">
        <w:rPr>
          <w:rFonts w:ascii="Times New Roman" w:hAnsi="Times New Roman" w:cs="Times New Roman"/>
          <w:sz w:val="24"/>
          <w:szCs w:val="24"/>
        </w:rPr>
        <w:t>В тексте р</w:t>
      </w:r>
      <w:r w:rsidR="003C1EDE" w:rsidRPr="00393F0A">
        <w:rPr>
          <w:rFonts w:ascii="Times New Roman" w:hAnsi="Times New Roman" w:cs="Times New Roman"/>
          <w:sz w:val="24"/>
          <w:szCs w:val="24"/>
        </w:rPr>
        <w:t>азрешается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Pr="00393F0A">
        <w:rPr>
          <w:rFonts w:ascii="Times New Roman" w:hAnsi="Times New Roman" w:cs="Times New Roman"/>
          <w:sz w:val="24"/>
          <w:szCs w:val="24"/>
        </w:rPr>
        <w:t xml:space="preserve">размещение одной таблицы. Сокращения, используемые при составлении таблиц, выносятся в примечание после таблицы. Рисунки, диаграммы и фотографии в тексте не допускаются. </w:t>
      </w:r>
    </w:p>
    <w:p w:rsidR="00F26A86" w:rsidRPr="00393F0A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РАЗДЕЛЫ</w:t>
      </w:r>
      <w:r w:rsidR="00F26A86" w:rsidRPr="00393F0A">
        <w:rPr>
          <w:rFonts w:ascii="Times New Roman" w:hAnsi="Times New Roman" w:cs="Times New Roman"/>
          <w:b/>
          <w:sz w:val="24"/>
          <w:szCs w:val="24"/>
        </w:rPr>
        <w:t>: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ц</w:t>
      </w:r>
      <w:r w:rsidRPr="00393F0A">
        <w:rPr>
          <w:rFonts w:ascii="Times New Roman" w:hAnsi="Times New Roman" w:cs="Times New Roman"/>
          <w:sz w:val="24"/>
          <w:szCs w:val="24"/>
        </w:rPr>
        <w:t>ель исследования, материалы и методы, результаты, заключение (</w:t>
      </w:r>
      <w:r w:rsidR="00040F76">
        <w:rPr>
          <w:rFonts w:ascii="Times New Roman" w:hAnsi="Times New Roman" w:cs="Times New Roman"/>
          <w:sz w:val="24"/>
          <w:szCs w:val="24"/>
        </w:rPr>
        <w:t xml:space="preserve">или </w:t>
      </w:r>
      <w:r w:rsidRPr="00393F0A">
        <w:rPr>
          <w:rFonts w:ascii="Times New Roman" w:hAnsi="Times New Roman" w:cs="Times New Roman"/>
          <w:sz w:val="24"/>
          <w:szCs w:val="24"/>
        </w:rPr>
        <w:t>выводы). На</w:t>
      </w:r>
      <w:r w:rsidR="00393F0A">
        <w:rPr>
          <w:rFonts w:ascii="Times New Roman" w:hAnsi="Times New Roman" w:cs="Times New Roman"/>
          <w:sz w:val="24"/>
          <w:szCs w:val="24"/>
        </w:rPr>
        <w:t>звания</w:t>
      </w:r>
      <w:r w:rsidRPr="00393F0A">
        <w:rPr>
          <w:rFonts w:ascii="Times New Roman" w:hAnsi="Times New Roman" w:cs="Times New Roman"/>
          <w:sz w:val="24"/>
          <w:szCs w:val="24"/>
        </w:rPr>
        <w:t xml:space="preserve"> разделов выделяются жирным шрифтом</w:t>
      </w:r>
      <w:r w:rsidR="00F26A86" w:rsidRPr="00393F0A">
        <w:rPr>
          <w:rFonts w:ascii="Times New Roman" w:hAnsi="Times New Roman" w:cs="Times New Roman"/>
          <w:sz w:val="24"/>
          <w:szCs w:val="24"/>
        </w:rPr>
        <w:t>.</w:t>
      </w:r>
    </w:p>
    <w:p w:rsidR="006912FC" w:rsidRDefault="006912FC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FF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6912FC">
        <w:rPr>
          <w:rFonts w:ascii="Times New Roman" w:hAnsi="Times New Roman" w:cs="Times New Roman"/>
          <w:sz w:val="24"/>
          <w:szCs w:val="24"/>
        </w:rPr>
        <w:t xml:space="preserve">первого автора </w:t>
      </w:r>
      <w:r w:rsidR="00F26A86" w:rsidRPr="00393F0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912FC">
        <w:rPr>
          <w:rFonts w:ascii="Times New Roman" w:hAnsi="Times New Roman" w:cs="Times New Roman"/>
          <w:sz w:val="24"/>
          <w:szCs w:val="24"/>
        </w:rPr>
        <w:t>приложены отдельным</w:t>
      </w:r>
      <w:r w:rsidR="00E674FF">
        <w:rPr>
          <w:rFonts w:ascii="Times New Roman" w:hAnsi="Times New Roman" w:cs="Times New Roman"/>
          <w:sz w:val="24"/>
          <w:szCs w:val="24"/>
        </w:rPr>
        <w:t xml:space="preserve"> файлом по форме (Приложение № 2). </w:t>
      </w:r>
    </w:p>
    <w:p w:rsidR="009A1B45" w:rsidRDefault="0079083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93F0A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393F0A">
        <w:rPr>
          <w:rFonts w:ascii="Times New Roman" w:hAnsi="Times New Roman" w:cs="Times New Roman"/>
          <w:sz w:val="24"/>
          <w:szCs w:val="24"/>
        </w:rPr>
        <w:t>электронной версии тезисов формируется из ФИО первог</w:t>
      </w:r>
      <w:r w:rsidR="00E633BD" w:rsidRPr="00393F0A">
        <w:rPr>
          <w:rFonts w:ascii="Times New Roman" w:hAnsi="Times New Roman" w:cs="Times New Roman"/>
          <w:sz w:val="24"/>
          <w:szCs w:val="24"/>
        </w:rPr>
        <w:t>о автора, например,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>Иванов ИИ.</w:t>
      </w:r>
      <w:r w:rsidRPr="00393F0A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Тезисы принимаются в электронном виде в формате </w:t>
      </w:r>
      <w:r w:rsidR="00E633BD" w:rsidRPr="00393F0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33BD" w:rsidRPr="00393F0A">
        <w:rPr>
          <w:rFonts w:ascii="Times New Roman" w:hAnsi="Times New Roman" w:cs="Times New Roman"/>
          <w:sz w:val="24"/>
          <w:szCs w:val="24"/>
        </w:rPr>
        <w:t xml:space="preserve"> (расширения .</w:t>
      </w:r>
      <w:proofErr w:type="spellStart"/>
      <w:r w:rsidR="00E633BD" w:rsidRPr="00393F0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33BD" w:rsidRPr="00393F0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93F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3F0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93F0A">
        <w:rPr>
          <w:rFonts w:ascii="Times New Roman" w:hAnsi="Times New Roman" w:cs="Times New Roman"/>
          <w:sz w:val="24"/>
          <w:szCs w:val="24"/>
        </w:rPr>
        <w:t>).</w:t>
      </w:r>
    </w:p>
    <w:p w:rsidR="00E674FF" w:rsidRDefault="00E674F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FF" w:rsidRDefault="00E674FF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FF">
        <w:rPr>
          <w:rFonts w:ascii="Times New Roman" w:hAnsi="Times New Roman" w:cs="Times New Roman"/>
          <w:b/>
          <w:sz w:val="24"/>
          <w:szCs w:val="24"/>
        </w:rPr>
        <w:t>ТРЕБОВАНИЯ К ФОТО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674FF">
        <w:rPr>
          <w:rFonts w:ascii="Times New Roman" w:hAnsi="Times New Roman" w:cs="Times New Roman"/>
          <w:sz w:val="24"/>
          <w:szCs w:val="24"/>
        </w:rPr>
        <w:t xml:space="preserve">к тезисам должно быть приложено </w:t>
      </w:r>
      <w:r w:rsidRPr="00E674FF">
        <w:rPr>
          <w:rFonts w:ascii="Times New Roman" w:hAnsi="Times New Roman" w:cs="Times New Roman"/>
          <w:b/>
          <w:sz w:val="24"/>
          <w:szCs w:val="24"/>
        </w:rPr>
        <w:t>ЦВЕТНОЕ</w:t>
      </w:r>
      <w:r w:rsidRPr="00E674FF">
        <w:rPr>
          <w:rFonts w:ascii="Times New Roman" w:hAnsi="Times New Roman" w:cs="Times New Roman"/>
          <w:sz w:val="24"/>
          <w:szCs w:val="24"/>
        </w:rPr>
        <w:t xml:space="preserve"> фото первого автора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4FF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>
        <w:rPr>
          <w:rFonts w:ascii="Times New Roman" w:hAnsi="Times New Roman" w:cs="Times New Roman"/>
          <w:sz w:val="24"/>
          <w:szCs w:val="24"/>
        </w:rPr>
        <w:t xml:space="preserve">форматы: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Pr="00E674FF">
        <w:rPr>
          <w:rFonts w:ascii="Times New Roman" w:hAnsi="Times New Roman" w:cs="Times New Roman"/>
          <w:sz w:val="24"/>
          <w:szCs w:val="24"/>
        </w:rPr>
        <w:t xml:space="preserve">. </w:t>
      </w:r>
      <w:r w:rsidRPr="00E674FF">
        <w:rPr>
          <w:rFonts w:ascii="Times New Roman" w:hAnsi="Times New Roman" w:cs="Times New Roman"/>
          <w:b/>
          <w:sz w:val="24"/>
          <w:szCs w:val="24"/>
        </w:rPr>
        <w:t>Фото</w:t>
      </w:r>
      <w:r w:rsidR="00C82503">
        <w:rPr>
          <w:rFonts w:ascii="Times New Roman" w:hAnsi="Times New Roman" w:cs="Times New Roman"/>
          <w:b/>
          <w:sz w:val="24"/>
          <w:szCs w:val="24"/>
        </w:rPr>
        <w:t>графии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 в формате </w:t>
      </w:r>
      <w:r w:rsidRPr="00E674F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E674FF">
        <w:rPr>
          <w:rFonts w:ascii="Times New Roman" w:hAnsi="Times New Roman" w:cs="Times New Roman"/>
          <w:b/>
          <w:sz w:val="24"/>
          <w:szCs w:val="24"/>
        </w:rPr>
        <w:t xml:space="preserve"> – не допускаются!</w:t>
      </w:r>
      <w:r>
        <w:rPr>
          <w:rFonts w:ascii="Times New Roman" w:hAnsi="Times New Roman" w:cs="Times New Roman"/>
          <w:sz w:val="24"/>
          <w:szCs w:val="24"/>
        </w:rPr>
        <w:t xml:space="preserve"> Уважаемые авторы, при изготовлении фото помните, что оно будет размещено в печатном сборнике, и его увидит множество людей.</w:t>
      </w:r>
    </w:p>
    <w:p w:rsidR="00826518" w:rsidRDefault="00826518" w:rsidP="00393F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518" w:rsidRDefault="00826518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тезисов – до </w:t>
      </w:r>
      <w:r w:rsidRPr="00826518">
        <w:rPr>
          <w:rFonts w:ascii="Times New Roman" w:hAnsi="Times New Roman" w:cs="Times New Roman"/>
          <w:b/>
          <w:sz w:val="24"/>
          <w:szCs w:val="24"/>
        </w:rPr>
        <w:t>20 февраля 2020 г.</w:t>
      </w:r>
    </w:p>
    <w:p w:rsidR="00EB3588" w:rsidRDefault="00EB3588" w:rsidP="00393F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88" w:rsidRDefault="00EB3588" w:rsidP="00EB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88" w:rsidRDefault="00EB3588" w:rsidP="00EB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88" w:rsidRDefault="00EB3588" w:rsidP="00EB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88" w:rsidRDefault="00EB3588" w:rsidP="00EB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</w:p>
    <w:p w:rsidR="00EB3588" w:rsidRDefault="00EB3588" w:rsidP="00EB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РАЗРАБОТКА ТЕСТ-СИСТЕМЫ НА ОСНОВЕ ТЕХНОЛОГИИ ПЦР В РЕЖИМЕ РЕАЛЬНОГО ВРЕМЕНИ ДЛЯ ВИДОВОЙ ИДЕНТИФИКАЦИИ НТМБ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Устинова В.В.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EB35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ФГБНУ «</w:t>
      </w:r>
      <w:r w:rsidRPr="00EB3588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ar-SA"/>
        </w:rPr>
        <w:t>Центральный научно-исследовательский институт туберкулеза</w:t>
      </w:r>
      <w:r w:rsidRPr="00EB358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», г. Москва, Россия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Цель исследования: 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во всем мире растет заболеваемость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микобактериозом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Для развитых стран отмечают корреляцию сокращения числа случаев заболевания туберкулезом и увеличения заболеваемости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микобактериозом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Клинические симптомы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микобактериоза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легких сходны с таковыми туберкулеза и хронических заболеваниях органов дыхания, а этиологический фактор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микобактериоза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нетуберкулезные микобактерии (НТМБ), обладают устойчивостью к большинству противотуберкулезных препаратов (ПТП), поэтому важно вовремя дифференцировать их от микобактерий туберкулеза (МБТ). На сегодняшний день известно около 40 видов патогенных НТМБ, вызывающих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микобактериоз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этом для назначения адекватной химиотерапии врачу необходимо знать видовую принадлежность микобактерии, т.к. для разных видов характерен разный спектр устойчивости к лекарственным препаратам. В России зарегистрированы только два набора для видовой идентификации НТМБ производства немецкой компании </w:t>
      </w:r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Hain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Lifescience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основанной на ПЦР с последующей гибридизацией продуктов реакции со специфическими зондами, иммобилизованными на нейлоновую мембрану. Эти тест-системы имеют ряд ограничений, главными из которых являются высокая стоимость исследования, длительное время проведения анализа и трудоемкость процесса постановки теста. В связи с этим целью нашего исследования стала разработка отечественной тест-системы для видовой идентификации НТМБ, распространенных на территории РФ. За основу разрабатываемой была принята технология ПЦР в режиме реального времени, позволяющая избежать </w:t>
      </w:r>
      <w:proofErr w:type="gram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недостатков</w:t>
      </w:r>
      <w:proofErr w:type="gram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существующих на отечественном рынке тест-систем.</w:t>
      </w:r>
    </w:p>
    <w:p w:rsidR="00EB3588" w:rsidRPr="00EB3588" w:rsidRDefault="00EB3588" w:rsidP="00EB3588">
      <w:pPr>
        <w:spacing w:after="0" w:line="360" w:lineRule="auto"/>
        <w:ind w:left="-29" w:firstLine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B3588" w:rsidRPr="00EB3588" w:rsidRDefault="00EB3588" w:rsidP="00EB358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Материалы и методы</w:t>
      </w:r>
    </w:p>
    <w:p w:rsidR="00EB3588" w:rsidRPr="00EB3588" w:rsidRDefault="00EB3588" w:rsidP="00EB358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Для выбора наиболее распространенных на территории РФ видов 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НТМБ была проанализирована видовая принадлежность штаммов НТМБ, полученных от больных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с подозрением на туберкулез и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микобактериоз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проходивших диагностику в ФГБНУ «ЦНИИТ» и лабораториях 17 региональных центров РФ. Штаммы были культивированы в автоматической системе учета роста культур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Bactec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MGIT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960. 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Биоинформатический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поиск участков геномов для видовой идентификации НТМБ проводили с использованием </w:t>
      </w:r>
      <w:proofErr w:type="gram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он-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лайн</w:t>
      </w:r>
      <w:proofErr w:type="spellEnd"/>
      <w:proofErr w:type="gram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версии ПО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Artemis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(//www.webact.org/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WebACT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/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generate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) и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N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CBI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protein-protein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blast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. Выравнивание нуклеотидных последовательностей проводили по алгоритму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Muscle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в ПО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Ugene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UniPro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. Видовая принадлежность штаммов НТМБ была определена с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lastRenderedPageBreak/>
        <w:t xml:space="preserve">использованием тест-систем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GenoTypeCM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GenoTypeAS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(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Hain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Lifescience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Германия). Для оценки внутривидовой вариабельности выбранных областей геномов были отобраны штаммы для каждого вида НТМБ из коллекции отдела микробиологии ФГБНУ 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ЦНИИТ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»,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выделенных от разных больных в период с 2013-2017 г.: 25 штаммов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avium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22 -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abscessus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21 -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chelonae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15 -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M.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fortuitum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20 –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gordonae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>,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 </w:t>
      </w:r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>27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 - M.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intracellulare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22 –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kansasii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25 –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lentiflavum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3 –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mucogenicum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4 –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>.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peregrinum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2 –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smegmatis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15 –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xenopi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(всего 201 штамм НТМБ)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Наработку ПЦР-фрагментов с использованием подобранных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праймеров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для дальнейшего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секвенирования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проводили в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амплификаторе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CFX96-Touch (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Biorad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США) при следующих условиях: активация 95°С - 5 мин., далее 35 циклов: 95°С - 15 сек., 61°С - 30 сек., 72°С – 30 сек.; финальная элонгация 72°С – 15 мин. Очистку полученных ПЦР-продуктов проводили электрофорезом в 1%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агарозном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геле с использованием набора реагентов DNA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purification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kit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(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Omnix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Санкт-Петербург), либо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ферментативно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. Далее проводили циклическое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секвенирование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Сэнгеру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с набором ABI PRISM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BigDye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Terminator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v.1.3 («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Applied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Biosystems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», США), согласно </w:t>
      </w:r>
      <w:proofErr w:type="gram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инструкции производителя</w:t>
      </w:r>
      <w:proofErr w:type="gram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с последующим разделением продуктов реакции капиллярным гель-электрофорезом на генетическом анализаторе «Нанофор-05» («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Синтол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», Россия). Полученные в результате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секвенирования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последовательности были добавлены в выравнивания, выполненные на предыдущем этапе. Подбор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праймеров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Taq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-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Man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зондов для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секвенирования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для видовой идентификации НТМБ проводили с помощью ПО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ar-SA"/>
        </w:rPr>
        <w:t>Primer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3. </w:t>
      </w: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 xml:space="preserve">Результаты </w:t>
      </w: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Результаты анализа наиболее часто встречающихся видов НТМБ на территории РФ представлены в таблице. По итогам анализа для разработки тест-системы были отобраны следующие виды: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avium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>.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abscessus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>,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chelonae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M.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fortuitum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gordonae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>,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 M.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>intracellulare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kansasii</w:t>
      </w:r>
      <w:proofErr w:type="spellEnd"/>
      <w:r w:rsidRPr="00EB358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ar-SA"/>
        </w:rPr>
        <w:t>lentiflavum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mucogenicum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peregrinum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smegmatis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xenopi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malmoense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Были выбраны участки геномов НТМБ для видовой идентификации, не использовавшиеся ранее, и выполнены их выравнивания. На основе выравниваний были подобраны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праймеры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для их прямого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секвенирования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. По результатам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секвенирования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была проведена оценка внутривидовой вариабельности выбранных участков геномов в клинических штаммах НТМБ и группировка видов для минимизации количества дифференцирующих смесей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праймеров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зондов. Были разработаны системы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видоспецифичных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spellStart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праймеров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зондов, учитывающие внутривидовую вариабельность НТМБ, выбранных для создания тест-системы. На сегодняшний день разработано 4 смеси, позволяющие выявлять каждая ДНК 3-х видов НТМБ и ДНК внутреннего положительного контроля. Первая смесь позволяет выявлять ДНК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avium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intracellulare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xenopi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; вторая – ДНК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kansasii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gordonae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lentiflavum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; третья – ДНК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abscessus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chelonae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mucogenicum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; четвертая – ДНК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fortuitum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,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M.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>peregrinum</w:t>
      </w:r>
      <w:proofErr w:type="spellEnd"/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M</w:t>
      </w:r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 xml:space="preserve">. </w:t>
      </w:r>
      <w:proofErr w:type="spellStart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ar-SA"/>
        </w:rPr>
        <w:t>smegmatis</w:t>
      </w:r>
      <w:proofErr w:type="spellEnd"/>
      <w:r w:rsidRPr="00EB358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ar-SA"/>
        </w:rPr>
        <w:t>.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>Таблица.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Виды НТМБ, выделенные из культур от больных, использованных для анализа распространенности видов НТМБ на территории РФ 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tbl>
      <w:tblPr>
        <w:tblW w:w="5670" w:type="dxa"/>
        <w:tblInd w:w="-5" w:type="dxa"/>
        <w:tblLook w:val="04A0" w:firstRow="1" w:lastRow="0" w:firstColumn="1" w:lastColumn="0" w:noHBand="0" w:noVBand="1"/>
      </w:tblPr>
      <w:tblGrid>
        <w:gridCol w:w="2098"/>
        <w:gridCol w:w="1351"/>
        <w:gridCol w:w="2221"/>
      </w:tblGrid>
      <w:tr w:rsidR="00EB3588" w:rsidRPr="00EB3588" w:rsidTr="006C5AB7">
        <w:trPr>
          <w:trHeight w:val="2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НТМБ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больных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наиболее часто встречающихся видов НТМБ 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avium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lentiflavum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intracellulare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gordonae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fortuitum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abscessus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kansasii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xenopi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chelonae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peregrinum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malmoense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smegmatis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8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3588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</w:tr>
      <w:tr w:rsidR="00EB3588" w:rsidRPr="00EB3588" w:rsidTr="006C5AB7">
        <w:trPr>
          <w:trHeight w:val="30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mucogenicum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szulgai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interjectum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scrofulaceum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simiae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arupense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B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kumamotenense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B3588" w:rsidRPr="00EB3588" w:rsidTr="006C5AB7">
        <w:trPr>
          <w:trHeight w:val="2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588" w:rsidRPr="00EB3588" w:rsidRDefault="00EB3588" w:rsidP="00EB3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B3588" w:rsidRPr="00EB3588" w:rsidRDefault="00EB3588" w:rsidP="00EB35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:rsidR="00EB3588" w:rsidRPr="00EB3588" w:rsidRDefault="00EB3588" w:rsidP="00EB358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Для предварительной оценки специфичности разработанного прототипа тест-системы для видовой идентификации НТМБ были использованы 201 штамм НТМБ, 16 штаммов МБТК и 14 штаммов микроорганизмов, не относящихся к микобактериям, из коллекции отдела микробиологии ФГБНУ 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ЦНИИТ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. Была показана 100% специфичность реакционных смесей. </w:t>
      </w: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>Заключение</w:t>
      </w:r>
    </w:p>
    <w:p w:rsidR="00EB3588" w:rsidRPr="00EB3588" w:rsidRDefault="00EB3588" w:rsidP="00EB3588">
      <w:pPr>
        <w:spacing w:after="0" w:line="360" w:lineRule="auto"/>
        <w:ind w:left="-29" w:firstLine="73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Разработан прототип тест-системы для видовой идентификации НТМБ, наиболее распространенных на территории РФ. На данный момент тест-система проходит клинические испытания в отделе микробиологии ФГБНУ 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ЦНИИТ</w:t>
      </w:r>
      <w:r w:rsidRPr="00EB35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».</w:t>
      </w:r>
      <w:r w:rsidRPr="00EB3588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Устинова Вера Витальевна, 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младший научный сотрудник отдела микробиологии ФГБНУ «Центральный научно-исследовательский институт туберкулеза», 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107564, г. Москва,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Яузская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аллея, д. 2</w:t>
      </w:r>
    </w:p>
    <w:p w:rsidR="00EB3588" w:rsidRPr="00EB3588" w:rsidRDefault="00EB3588" w:rsidP="00EB3588">
      <w:pPr>
        <w:spacing w:after="0" w:line="360" w:lineRule="auto"/>
        <w:ind w:left="-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Тел.: +7 (ХХХ) ХХХ ХХХХ, </w:t>
      </w:r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gmail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proofErr w:type="spellStart"/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gmail</w:t>
      </w:r>
      <w:proofErr w:type="spellEnd"/>
      <w:r w:rsidRPr="00EB35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B35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</w:t>
      </w:r>
    </w:p>
    <w:p w:rsidR="00EB3588" w:rsidRPr="00E674FF" w:rsidRDefault="00EB3588" w:rsidP="00EB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3588" w:rsidRPr="00E674FF" w:rsidSect="003C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F"/>
    <w:rsid w:val="00040F76"/>
    <w:rsid w:val="00176662"/>
    <w:rsid w:val="001F4BE6"/>
    <w:rsid w:val="00393F0A"/>
    <w:rsid w:val="003C1EDE"/>
    <w:rsid w:val="005E55BF"/>
    <w:rsid w:val="006912FC"/>
    <w:rsid w:val="006D211D"/>
    <w:rsid w:val="0079083F"/>
    <w:rsid w:val="00826518"/>
    <w:rsid w:val="008378F7"/>
    <w:rsid w:val="009A1B45"/>
    <w:rsid w:val="00C82503"/>
    <w:rsid w:val="00E633BD"/>
    <w:rsid w:val="00E674FF"/>
    <w:rsid w:val="00EB3588"/>
    <w:rsid w:val="00F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E73B-CA5D-4EAE-BB94-B732E7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Елена Шишло</cp:lastModifiedBy>
  <cp:revision>4</cp:revision>
  <cp:lastPrinted>2019-01-14T12:46:00Z</cp:lastPrinted>
  <dcterms:created xsi:type="dcterms:W3CDTF">2020-01-15T08:30:00Z</dcterms:created>
  <dcterms:modified xsi:type="dcterms:W3CDTF">2020-01-15T08:58:00Z</dcterms:modified>
</cp:coreProperties>
</file>