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E0" w:rsidRPr="00DB79E0" w:rsidRDefault="00DB79E0" w:rsidP="00DB79E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79E0" w:rsidRPr="00DB79E0" w:rsidRDefault="00DB79E0" w:rsidP="00DB79E0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противотуберкулезных препаратов, </w:t>
      </w:r>
      <w:bookmarkStart w:id="0" w:name="_GoBack"/>
      <w:proofErr w:type="gramStart"/>
      <w:r w:rsidRPr="00DB79E0">
        <w:rPr>
          <w:rFonts w:ascii="Times New Roman" w:eastAsia="Calibri" w:hAnsi="Times New Roman" w:cs="Times New Roman"/>
          <w:sz w:val="28"/>
          <w:szCs w:val="28"/>
        </w:rPr>
        <w:t>препаратов</w:t>
      </w:r>
      <w:proofErr w:type="gram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отпускаемых по решению врачебной комиссии</w:t>
      </w:r>
    </w:p>
    <w:bookmarkEnd w:id="0"/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Бедаквилин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Циклосерин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Теризидон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Капреомицин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Левофлоксацин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Аминосалициловая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кислота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Моксифлоксацин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Линезолид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Рифабутин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Меропенем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Эртапенем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Имипенем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Орнитин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Адеметионин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Фосфолипиды </w:t>
      </w:r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Будесонид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Беклометазон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Будесонид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Формотерол</w:t>
      </w:r>
      <w:proofErr w:type="spellEnd"/>
    </w:p>
    <w:p w:rsidR="00DB79E0" w:rsidRPr="00DB79E0" w:rsidRDefault="00DB79E0" w:rsidP="00DB79E0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Салметерол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Флутиказон</w:t>
      </w:r>
      <w:proofErr w:type="spellEnd"/>
    </w:p>
    <w:p w:rsidR="00DE0FF1" w:rsidRDefault="00DE0FF1"/>
    <w:sectPr w:rsidR="00DE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0A4"/>
    <w:multiLevelType w:val="hybridMultilevel"/>
    <w:tmpl w:val="D916BFD0"/>
    <w:lvl w:ilvl="0" w:tplc="3836F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E0"/>
    <w:rsid w:val="00DB79E0"/>
    <w:rsid w:val="00D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18E2"/>
  <w15:chartTrackingRefBased/>
  <w15:docId w15:val="{ADB1BC63-B35F-424B-B2B2-C33CD03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Авербах</dc:creator>
  <cp:keywords/>
  <dc:description/>
  <cp:lastModifiedBy>Михаил Авербах</cp:lastModifiedBy>
  <cp:revision>1</cp:revision>
  <dcterms:created xsi:type="dcterms:W3CDTF">2017-07-12T15:19:00Z</dcterms:created>
  <dcterms:modified xsi:type="dcterms:W3CDTF">2017-07-12T15:25:00Z</dcterms:modified>
</cp:coreProperties>
</file>