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FE" w:rsidRDefault="00C703FE" w:rsidP="008455B3">
      <w:pPr>
        <w:ind w:left="0" w:right="-13" w:firstLine="567"/>
        <w:jc w:val="right"/>
        <w:rPr>
          <w:i/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7D34C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 правах рукописи</w:t>
      </w:r>
    </w:p>
    <w:p w:rsidR="00C703FE" w:rsidRDefault="00C703FE" w:rsidP="008455B3">
      <w:pPr>
        <w:ind w:left="0" w:right="-13" w:firstLine="567"/>
        <w:jc w:val="right"/>
        <w:rPr>
          <w:sz w:val="28"/>
          <w:szCs w:val="28"/>
        </w:rPr>
      </w:pPr>
    </w:p>
    <w:p w:rsidR="00C703FE" w:rsidRDefault="00C703FE" w:rsidP="008455B3">
      <w:pPr>
        <w:ind w:left="0" w:right="-13" w:firstLine="567"/>
        <w:rPr>
          <w:b/>
          <w:sz w:val="32"/>
          <w:szCs w:val="32"/>
        </w:rPr>
      </w:pPr>
    </w:p>
    <w:p w:rsidR="00C703FE" w:rsidRPr="007D34CC" w:rsidRDefault="00C703FE" w:rsidP="008455B3">
      <w:pPr>
        <w:ind w:left="0" w:right="-13" w:firstLine="567"/>
        <w:rPr>
          <w:rFonts w:ascii="Times New Roman" w:hAnsi="Times New Roman"/>
          <w:b/>
          <w:sz w:val="32"/>
          <w:szCs w:val="32"/>
        </w:rPr>
      </w:pPr>
      <w:r w:rsidRPr="007D34CC">
        <w:rPr>
          <w:rFonts w:ascii="Times New Roman" w:hAnsi="Times New Roman"/>
          <w:b/>
          <w:sz w:val="32"/>
          <w:szCs w:val="32"/>
        </w:rPr>
        <w:t>МАКАРЬЯНЦ НАТАЛЬЯ НИКОЛАЕВНА</w:t>
      </w:r>
    </w:p>
    <w:p w:rsidR="00C703FE" w:rsidRDefault="00C703FE" w:rsidP="008455B3">
      <w:pPr>
        <w:ind w:left="0" w:right="-13" w:firstLine="567"/>
        <w:rPr>
          <w:b/>
          <w:sz w:val="32"/>
          <w:szCs w:val="32"/>
        </w:rPr>
      </w:pPr>
    </w:p>
    <w:p w:rsidR="00C703FE" w:rsidRDefault="00C703FE" w:rsidP="008455B3">
      <w:pPr>
        <w:ind w:left="0" w:right="-13" w:firstLine="567"/>
        <w:rPr>
          <w:b/>
          <w:sz w:val="32"/>
          <w:szCs w:val="32"/>
        </w:rPr>
      </w:pPr>
    </w:p>
    <w:p w:rsidR="00C703FE" w:rsidRDefault="00C703FE" w:rsidP="008455B3">
      <w:pPr>
        <w:ind w:left="0" w:right="-13" w:firstLine="567"/>
        <w:rPr>
          <w:b/>
          <w:sz w:val="32"/>
          <w:szCs w:val="32"/>
        </w:rPr>
      </w:pPr>
    </w:p>
    <w:p w:rsidR="00C703FE" w:rsidRPr="007D34CC" w:rsidRDefault="00C703FE" w:rsidP="008455B3">
      <w:pPr>
        <w:ind w:left="0" w:right="-13" w:firstLine="567"/>
        <w:rPr>
          <w:rFonts w:ascii="Times New Roman" w:hAnsi="Times New Roman"/>
          <w:b/>
          <w:sz w:val="32"/>
          <w:szCs w:val="32"/>
        </w:rPr>
      </w:pPr>
      <w:r w:rsidRPr="007D34CC">
        <w:rPr>
          <w:rFonts w:ascii="Times New Roman" w:hAnsi="Times New Roman"/>
          <w:b/>
          <w:sz w:val="32"/>
          <w:szCs w:val="32"/>
        </w:rPr>
        <w:t>ДИАГНОСТИКА И ЛЕЧЕНИЕ ЭКЗОГЕННОГО АЛЛЕРГИЧЕСКОГО АЛЬВЕОЛИТА</w:t>
      </w:r>
    </w:p>
    <w:p w:rsidR="00C703FE" w:rsidRPr="007D34CC" w:rsidRDefault="00C703FE" w:rsidP="008455B3">
      <w:pPr>
        <w:ind w:left="0" w:right="-13" w:firstLine="567"/>
        <w:rPr>
          <w:b/>
          <w:sz w:val="28"/>
          <w:szCs w:val="28"/>
        </w:rPr>
      </w:pPr>
    </w:p>
    <w:p w:rsidR="00C703FE" w:rsidRDefault="00C703FE" w:rsidP="008455B3">
      <w:pPr>
        <w:ind w:left="0" w:right="-13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14.01.25 - ПУЛЬМОНОЛОГИЯ</w:t>
      </w:r>
    </w:p>
    <w:p w:rsidR="00C703FE" w:rsidRDefault="00C703FE" w:rsidP="008455B3">
      <w:pPr>
        <w:ind w:left="0" w:right="-13" w:firstLine="567"/>
        <w:rPr>
          <w:b/>
          <w:sz w:val="28"/>
          <w:szCs w:val="28"/>
        </w:rPr>
      </w:pPr>
    </w:p>
    <w:p w:rsidR="00C703FE" w:rsidRDefault="00C703FE" w:rsidP="008455B3">
      <w:pPr>
        <w:ind w:left="0" w:right="-13" w:firstLine="567"/>
        <w:rPr>
          <w:b/>
          <w:sz w:val="28"/>
          <w:szCs w:val="28"/>
        </w:rPr>
      </w:pPr>
    </w:p>
    <w:p w:rsidR="00C703FE" w:rsidRPr="007D34CC" w:rsidRDefault="00C703FE" w:rsidP="008455B3">
      <w:pPr>
        <w:tabs>
          <w:tab w:val="left" w:pos="142"/>
        </w:tabs>
        <w:ind w:left="0" w:right="-13" w:firstLine="567"/>
        <w:rPr>
          <w:rFonts w:ascii="Times New Roman" w:hAnsi="Times New Roman"/>
          <w:b/>
          <w:sz w:val="32"/>
          <w:szCs w:val="28"/>
        </w:rPr>
      </w:pPr>
      <w:r w:rsidRPr="007D34CC">
        <w:rPr>
          <w:rFonts w:ascii="Times New Roman" w:hAnsi="Times New Roman"/>
          <w:b/>
          <w:sz w:val="32"/>
          <w:szCs w:val="28"/>
        </w:rPr>
        <w:t>АВТОРЕФЕРАТ</w:t>
      </w:r>
    </w:p>
    <w:p w:rsidR="00C703FE" w:rsidRDefault="00C703FE" w:rsidP="008455B3">
      <w:pPr>
        <w:tabs>
          <w:tab w:val="left" w:pos="142"/>
        </w:tabs>
        <w:ind w:left="0" w:right="-13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диссертации на соискание ученой степени</w:t>
      </w:r>
    </w:p>
    <w:p w:rsidR="00C703FE" w:rsidRDefault="00C703FE" w:rsidP="008455B3">
      <w:pPr>
        <w:tabs>
          <w:tab w:val="left" w:pos="142"/>
        </w:tabs>
        <w:ind w:left="0" w:right="-13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доктора медицинских наук</w:t>
      </w:r>
    </w:p>
    <w:p w:rsidR="00C703FE" w:rsidRDefault="00C703FE" w:rsidP="008455B3">
      <w:pPr>
        <w:tabs>
          <w:tab w:val="left" w:pos="142"/>
        </w:tabs>
        <w:ind w:left="0" w:right="-13" w:firstLine="567"/>
        <w:rPr>
          <w:b/>
          <w:sz w:val="28"/>
          <w:szCs w:val="28"/>
        </w:rPr>
      </w:pPr>
    </w:p>
    <w:p w:rsidR="00C703FE" w:rsidRDefault="00C703FE" w:rsidP="008455B3">
      <w:pPr>
        <w:tabs>
          <w:tab w:val="left" w:pos="142"/>
        </w:tabs>
        <w:ind w:left="0" w:right="-13" w:firstLine="567"/>
        <w:rPr>
          <w:b/>
          <w:sz w:val="28"/>
          <w:szCs w:val="28"/>
        </w:rPr>
      </w:pPr>
    </w:p>
    <w:p w:rsidR="00C703FE" w:rsidRDefault="00C703FE" w:rsidP="008455B3">
      <w:pPr>
        <w:tabs>
          <w:tab w:val="left" w:pos="142"/>
        </w:tabs>
        <w:ind w:left="0" w:right="-13" w:firstLine="567"/>
        <w:rPr>
          <w:b/>
          <w:sz w:val="28"/>
          <w:szCs w:val="28"/>
        </w:rPr>
      </w:pPr>
    </w:p>
    <w:p w:rsidR="00C703FE" w:rsidRDefault="00C703FE" w:rsidP="008455B3">
      <w:pPr>
        <w:tabs>
          <w:tab w:val="left" w:pos="142"/>
        </w:tabs>
        <w:ind w:left="0" w:right="-13" w:firstLine="567"/>
        <w:rPr>
          <w:rFonts w:ascii="Adobe Kaiti Std R" w:eastAsia="Adobe Kaiti Std R" w:hAnsi="Adobe Kaiti Std R"/>
          <w:b/>
          <w:szCs w:val="28"/>
        </w:rPr>
      </w:pPr>
      <w:r w:rsidRPr="007D34CC">
        <w:rPr>
          <w:rFonts w:ascii="Adobe Kaiti Std R Cyr" w:eastAsia="Adobe Kaiti Std R" w:hAnsi="Adobe Kaiti Std R Cyr"/>
          <w:b/>
          <w:szCs w:val="28"/>
        </w:rPr>
        <w:t>МОСКВА- 2013</w:t>
      </w:r>
    </w:p>
    <w:p w:rsidR="00C703FE" w:rsidRPr="00131AA2" w:rsidRDefault="00C703FE" w:rsidP="00131AA2">
      <w:pPr>
        <w:tabs>
          <w:tab w:val="left" w:pos="4965"/>
          <w:tab w:val="center" w:pos="5485"/>
        </w:tabs>
        <w:jc w:val="left"/>
        <w:rPr>
          <w:rFonts w:ascii="Adobe Kaiti Std R" w:eastAsia="Adobe Kaiti Std R" w:hAnsi="Adobe Kaiti Std R"/>
          <w:szCs w:val="28"/>
        </w:rPr>
      </w:pPr>
      <w:r>
        <w:rPr>
          <w:rFonts w:ascii="Adobe Kaiti Std R" w:eastAsia="Adobe Kaiti Std R" w:hAnsi="Adobe Kaiti Std R"/>
          <w:szCs w:val="28"/>
        </w:rPr>
        <w:lastRenderedPageBreak/>
        <w:tab/>
      </w:r>
      <w:r>
        <w:rPr>
          <w:rFonts w:ascii="Adobe Kaiti Std R" w:eastAsia="Adobe Kaiti Std R" w:hAnsi="Adobe Kaiti Std R"/>
          <w:szCs w:val="28"/>
        </w:rPr>
        <w:tab/>
      </w:r>
      <w:r>
        <w:rPr>
          <w:rFonts w:ascii="Adobe Kaiti Std R" w:eastAsia="Adobe Kaiti Std R" w:hAnsi="Adobe Kaiti Std R"/>
          <w:szCs w:val="28"/>
        </w:rPr>
        <w:tab/>
      </w:r>
      <w:r>
        <w:rPr>
          <w:rFonts w:ascii="Adobe Kaiti Std R" w:eastAsia="Adobe Kaiti Std R" w:hAnsi="Adobe Kaiti Std R"/>
          <w:szCs w:val="28"/>
        </w:rPr>
        <w:tab/>
      </w:r>
    </w:p>
    <w:p w:rsidR="00C703FE" w:rsidRPr="009F3E90" w:rsidRDefault="00C703FE" w:rsidP="008455B3">
      <w:pPr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E90">
        <w:rPr>
          <w:rFonts w:ascii="Times New Roman" w:hAnsi="Times New Roman"/>
          <w:sz w:val="28"/>
          <w:szCs w:val="28"/>
          <w:lang w:eastAsia="ru-RU"/>
        </w:rPr>
        <w:t>Работа выполнена  в Ф</w:t>
      </w:r>
      <w:r>
        <w:rPr>
          <w:rFonts w:ascii="Times New Roman" w:hAnsi="Times New Roman"/>
          <w:sz w:val="28"/>
          <w:szCs w:val="28"/>
          <w:lang w:eastAsia="ru-RU"/>
        </w:rPr>
        <w:t xml:space="preserve">едеральном Государственном  Бюджетном Учреждении </w:t>
      </w:r>
      <w:r w:rsidRPr="009F3E90">
        <w:rPr>
          <w:rFonts w:ascii="Times New Roman" w:hAnsi="Times New Roman"/>
          <w:sz w:val="28"/>
          <w:szCs w:val="28"/>
          <w:lang w:eastAsia="ru-RU"/>
        </w:rPr>
        <w:t>«Центральном научно-исследовательском институте туберкулеза» РАМН (директор – член-корреспондент РАМН, профессор, доктор медицинских наук Ерохин В.В.).</w:t>
      </w:r>
    </w:p>
    <w:p w:rsidR="00C703FE" w:rsidRPr="00A7433A" w:rsidRDefault="00C703FE" w:rsidP="00797BC9">
      <w:pPr>
        <w:ind w:left="0" w:right="-24" w:firstLine="567"/>
        <w:jc w:val="both"/>
        <w:rPr>
          <w:b/>
          <w:sz w:val="24"/>
          <w:szCs w:val="24"/>
        </w:rPr>
      </w:pPr>
      <w:r w:rsidRPr="00A7433A">
        <w:rPr>
          <w:b/>
          <w:sz w:val="24"/>
          <w:szCs w:val="24"/>
        </w:rPr>
        <w:t>Научные консультанты:</w:t>
      </w:r>
    </w:p>
    <w:p w:rsidR="00C703FE" w:rsidRPr="00835480" w:rsidRDefault="00C703FE" w:rsidP="00835480">
      <w:pPr>
        <w:spacing w:line="240" w:lineRule="auto"/>
        <w:ind w:left="0" w:right="-24" w:firstLine="567"/>
        <w:jc w:val="both"/>
        <w:rPr>
          <w:b/>
          <w:sz w:val="24"/>
          <w:szCs w:val="24"/>
        </w:rPr>
      </w:pPr>
      <w:r w:rsidRPr="00A7433A">
        <w:rPr>
          <w:sz w:val="24"/>
          <w:szCs w:val="24"/>
        </w:rPr>
        <w:t xml:space="preserve">Доктор медицинских наук, </w:t>
      </w:r>
      <w:r>
        <w:rPr>
          <w:sz w:val="24"/>
          <w:szCs w:val="24"/>
        </w:rPr>
        <w:t xml:space="preserve">профессор                    </w:t>
      </w:r>
      <w:r w:rsidRPr="00A7433A">
        <w:rPr>
          <w:sz w:val="24"/>
          <w:szCs w:val="24"/>
        </w:rPr>
        <w:t xml:space="preserve">             </w:t>
      </w:r>
      <w:r w:rsidRPr="00835480">
        <w:rPr>
          <w:b/>
          <w:sz w:val="24"/>
          <w:szCs w:val="24"/>
        </w:rPr>
        <w:t>Шмелев Евгений Иванович</w:t>
      </w:r>
    </w:p>
    <w:p w:rsidR="00C703FE" w:rsidRPr="00A7433A" w:rsidRDefault="00C703FE" w:rsidP="00835480">
      <w:pPr>
        <w:spacing w:line="240" w:lineRule="auto"/>
        <w:ind w:left="0" w:right="-2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Доктор биологических наук, профессор                               </w:t>
      </w:r>
      <w:proofErr w:type="gramStart"/>
      <w:r w:rsidRPr="00835480">
        <w:rPr>
          <w:b/>
          <w:sz w:val="24"/>
          <w:szCs w:val="24"/>
        </w:rPr>
        <w:t>Лепеха</w:t>
      </w:r>
      <w:proofErr w:type="gramEnd"/>
      <w:r w:rsidRPr="00835480">
        <w:rPr>
          <w:b/>
          <w:sz w:val="24"/>
          <w:szCs w:val="24"/>
        </w:rPr>
        <w:t xml:space="preserve"> Лариса Николаевна   </w:t>
      </w:r>
      <w:r w:rsidRPr="00A7433A">
        <w:rPr>
          <w:sz w:val="24"/>
          <w:szCs w:val="24"/>
        </w:rPr>
        <w:t xml:space="preserve">                                              </w:t>
      </w:r>
    </w:p>
    <w:p w:rsidR="00C703FE" w:rsidRDefault="00C703FE" w:rsidP="00797BC9">
      <w:pPr>
        <w:spacing w:line="240" w:lineRule="auto"/>
        <w:ind w:left="0" w:right="-24" w:firstLine="567"/>
        <w:jc w:val="both"/>
        <w:rPr>
          <w:b/>
          <w:sz w:val="24"/>
          <w:szCs w:val="24"/>
        </w:rPr>
      </w:pPr>
      <w:r w:rsidRPr="00A7433A">
        <w:rPr>
          <w:b/>
          <w:sz w:val="24"/>
          <w:szCs w:val="24"/>
        </w:rPr>
        <w:t>Официальные оппоненты:</w:t>
      </w:r>
    </w:p>
    <w:p w:rsidR="00C703FE" w:rsidRPr="002E4502" w:rsidRDefault="005767CD" w:rsidP="00797BC9">
      <w:pPr>
        <w:spacing w:line="240" w:lineRule="auto"/>
        <w:ind w:left="0" w:right="-24" w:firstLine="567"/>
        <w:jc w:val="both"/>
        <w:rPr>
          <w:sz w:val="24"/>
          <w:szCs w:val="24"/>
        </w:rPr>
      </w:pPr>
      <w:r w:rsidRPr="00A510B3">
        <w:rPr>
          <w:b/>
          <w:sz w:val="24"/>
          <w:szCs w:val="24"/>
        </w:rPr>
        <w:t>Дворецкий Леонид Иванович</w:t>
      </w:r>
      <w:r>
        <w:rPr>
          <w:b/>
          <w:sz w:val="24"/>
          <w:szCs w:val="24"/>
        </w:rPr>
        <w:t>,</w:t>
      </w:r>
      <w:r w:rsidRPr="002E450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C703FE" w:rsidRPr="002E4502">
        <w:rPr>
          <w:sz w:val="24"/>
          <w:szCs w:val="24"/>
        </w:rPr>
        <w:t>октор медицинских наук</w:t>
      </w:r>
      <w:r w:rsidR="00C703FE">
        <w:rPr>
          <w:sz w:val="24"/>
          <w:szCs w:val="24"/>
        </w:rPr>
        <w:t xml:space="preserve">, профессор, </w:t>
      </w:r>
      <w:r>
        <w:rPr>
          <w:sz w:val="24"/>
          <w:szCs w:val="24"/>
        </w:rPr>
        <w:t>МГМУ им. И.М. Сеченова, кафедра госпитальной терапии 2 лечебного факультета</w:t>
      </w:r>
      <w:proofErr w:type="gramStart"/>
      <w:r>
        <w:rPr>
          <w:sz w:val="24"/>
          <w:szCs w:val="24"/>
        </w:rPr>
        <w:t xml:space="preserve"> ,</w:t>
      </w:r>
      <w:proofErr w:type="gramEnd"/>
      <w:r w:rsidR="00C703FE">
        <w:rPr>
          <w:sz w:val="24"/>
          <w:szCs w:val="24"/>
        </w:rPr>
        <w:t xml:space="preserve">зав. кафедрой </w:t>
      </w:r>
    </w:p>
    <w:p w:rsidR="005767CD" w:rsidRDefault="005767CD" w:rsidP="00797BC9">
      <w:pPr>
        <w:spacing w:line="240" w:lineRule="auto"/>
        <w:ind w:left="0" w:right="-24" w:firstLine="567"/>
        <w:jc w:val="both"/>
        <w:rPr>
          <w:sz w:val="24"/>
          <w:szCs w:val="24"/>
        </w:rPr>
      </w:pPr>
      <w:proofErr w:type="spellStart"/>
      <w:r w:rsidRPr="00A510B3">
        <w:rPr>
          <w:b/>
          <w:sz w:val="24"/>
          <w:szCs w:val="24"/>
        </w:rPr>
        <w:t>Дидковский</w:t>
      </w:r>
      <w:proofErr w:type="spellEnd"/>
      <w:r w:rsidRPr="00A510B3">
        <w:rPr>
          <w:b/>
          <w:sz w:val="24"/>
          <w:szCs w:val="24"/>
        </w:rPr>
        <w:t xml:space="preserve"> Николай Антонович</w:t>
      </w:r>
      <w:r>
        <w:rPr>
          <w:sz w:val="24"/>
          <w:szCs w:val="24"/>
        </w:rPr>
        <w:t>, д</w:t>
      </w:r>
      <w:r w:rsidR="00C703FE">
        <w:rPr>
          <w:sz w:val="24"/>
          <w:szCs w:val="24"/>
        </w:rPr>
        <w:t>октор медицинских наук, профессор,</w:t>
      </w:r>
      <w:r w:rsidRPr="005767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Институт физико-химической медицины Минздрава РФ, </w:t>
      </w:r>
      <w:r w:rsidR="00C703FE">
        <w:rPr>
          <w:sz w:val="24"/>
          <w:szCs w:val="24"/>
        </w:rPr>
        <w:t xml:space="preserve"> зав. лабораторией клинической иммунологии </w:t>
      </w:r>
    </w:p>
    <w:p w:rsidR="00C703FE" w:rsidRPr="00835480" w:rsidRDefault="005767CD" w:rsidP="00797BC9">
      <w:pPr>
        <w:spacing w:line="240" w:lineRule="auto"/>
        <w:ind w:left="0" w:right="-24" w:firstLine="567"/>
        <w:jc w:val="both"/>
        <w:rPr>
          <w:b/>
          <w:sz w:val="24"/>
          <w:szCs w:val="24"/>
        </w:rPr>
      </w:pPr>
      <w:r w:rsidRPr="00835480">
        <w:rPr>
          <w:b/>
          <w:sz w:val="24"/>
          <w:szCs w:val="24"/>
        </w:rPr>
        <w:t>Васильева Ольга Сергеевна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д</w:t>
      </w:r>
      <w:r w:rsidR="00C703FE">
        <w:rPr>
          <w:sz w:val="24"/>
          <w:szCs w:val="24"/>
        </w:rPr>
        <w:t>октор медицинских наук, профессор, Научно-исследовательский институт пульмонологии</w:t>
      </w:r>
      <w:r>
        <w:rPr>
          <w:sz w:val="24"/>
          <w:szCs w:val="24"/>
        </w:rPr>
        <w:t xml:space="preserve">, </w:t>
      </w:r>
      <w:r w:rsidR="00C703FE">
        <w:rPr>
          <w:sz w:val="24"/>
          <w:szCs w:val="24"/>
        </w:rPr>
        <w:t xml:space="preserve"> </w:t>
      </w:r>
      <w:r>
        <w:rPr>
          <w:sz w:val="24"/>
          <w:szCs w:val="24"/>
        </w:rPr>
        <w:t>зав. лабораторией диагностики и лечения эколого-зависимых и профессиональных заболеваний легких</w:t>
      </w:r>
    </w:p>
    <w:p w:rsidR="00C703FE" w:rsidRDefault="00C703FE" w:rsidP="005971B4">
      <w:pPr>
        <w:spacing w:line="240" w:lineRule="auto"/>
        <w:ind w:left="0" w:right="-24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Ведущая организация: </w:t>
      </w:r>
    </w:p>
    <w:p w:rsidR="00C703FE" w:rsidRPr="00AB5856" w:rsidRDefault="00C703FE" w:rsidP="005971B4">
      <w:pPr>
        <w:spacing w:line="240" w:lineRule="auto"/>
        <w:ind w:left="0" w:right="-24"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ГБОУ ВПО </w:t>
      </w:r>
      <w:r w:rsidR="005767CD">
        <w:rPr>
          <w:sz w:val="24"/>
          <w:szCs w:val="24"/>
        </w:rPr>
        <w:t>«</w:t>
      </w:r>
      <w:r w:rsidRPr="00AB5856">
        <w:rPr>
          <w:sz w:val="24"/>
          <w:szCs w:val="24"/>
        </w:rPr>
        <w:t>Российский национальный исследовательский медицинский университет им. Н.И. Пирогова</w:t>
      </w:r>
      <w:r w:rsidR="005767CD">
        <w:rPr>
          <w:sz w:val="24"/>
          <w:szCs w:val="24"/>
        </w:rPr>
        <w:t>»</w:t>
      </w:r>
      <w:r w:rsidRPr="00AB5856">
        <w:rPr>
          <w:sz w:val="24"/>
          <w:szCs w:val="24"/>
        </w:rPr>
        <w:t>.</w:t>
      </w:r>
    </w:p>
    <w:p w:rsidR="00C703FE" w:rsidRDefault="00C703FE" w:rsidP="00797BC9">
      <w:pPr>
        <w:spacing w:line="240" w:lineRule="auto"/>
        <w:ind w:left="0" w:right="-24" w:firstLine="567"/>
        <w:jc w:val="both"/>
        <w:rPr>
          <w:sz w:val="24"/>
          <w:szCs w:val="24"/>
        </w:rPr>
      </w:pPr>
      <w:r w:rsidRPr="00797BC9">
        <w:rPr>
          <w:sz w:val="24"/>
          <w:szCs w:val="24"/>
        </w:rPr>
        <w:t>Защита состоится</w:t>
      </w:r>
      <w:r>
        <w:rPr>
          <w:b/>
          <w:sz w:val="24"/>
          <w:szCs w:val="24"/>
        </w:rPr>
        <w:t xml:space="preserve"> «9» </w:t>
      </w:r>
      <w:r w:rsidRPr="00A510B3">
        <w:rPr>
          <w:sz w:val="24"/>
          <w:szCs w:val="24"/>
        </w:rPr>
        <w:t xml:space="preserve">июля 2013 </w:t>
      </w:r>
      <w:r w:rsidR="005767CD">
        <w:rPr>
          <w:sz w:val="24"/>
          <w:szCs w:val="24"/>
        </w:rPr>
        <w:t xml:space="preserve">в 13.00 ч. </w:t>
      </w:r>
      <w:r w:rsidRPr="00A510B3">
        <w:rPr>
          <w:sz w:val="24"/>
          <w:szCs w:val="24"/>
        </w:rPr>
        <w:t>н</w:t>
      </w:r>
      <w:r w:rsidRPr="00CC24BB">
        <w:rPr>
          <w:sz w:val="24"/>
          <w:szCs w:val="24"/>
        </w:rPr>
        <w:t>а заседании диссертационного совета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 xml:space="preserve"> 001.052.01 в  ФГБУ «Центральный научно-исследовательский институт туберкулеза» РАМН  по адресу: </w:t>
      </w:r>
      <w:smartTag w:uri="urn:schemas-microsoft-com:office:smarttags" w:element="metricconverter">
        <w:smartTagPr>
          <w:attr w:name="ProductID" w:val="107564, г"/>
        </w:smartTagPr>
        <w:r>
          <w:rPr>
            <w:sz w:val="24"/>
            <w:szCs w:val="24"/>
          </w:rPr>
          <w:t>107564, г</w:t>
        </w:r>
      </w:smartTag>
      <w:r>
        <w:rPr>
          <w:sz w:val="24"/>
          <w:szCs w:val="24"/>
        </w:rPr>
        <w:t xml:space="preserve">. Москва, </w:t>
      </w:r>
      <w:proofErr w:type="spellStart"/>
      <w:r>
        <w:rPr>
          <w:sz w:val="24"/>
          <w:szCs w:val="24"/>
        </w:rPr>
        <w:t>Яузская</w:t>
      </w:r>
      <w:proofErr w:type="spellEnd"/>
      <w:r>
        <w:rPr>
          <w:sz w:val="24"/>
          <w:szCs w:val="24"/>
        </w:rPr>
        <w:t xml:space="preserve"> аллея, д.2.</w:t>
      </w:r>
    </w:p>
    <w:p w:rsidR="00C703FE" w:rsidRDefault="00C703FE" w:rsidP="00797BC9">
      <w:pPr>
        <w:spacing w:line="240" w:lineRule="auto"/>
        <w:ind w:left="0" w:right="-24"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диссертацией можно ознакомиться в библиотеке ФГБУ «ЦНИИТ» РАМН</w:t>
      </w:r>
      <w:r w:rsidRPr="00797BC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smartTag w:uri="urn:schemas-microsoft-com:office:smarttags" w:element="metricconverter">
        <w:smartTagPr>
          <w:attr w:name="ProductID" w:val="107564, г"/>
        </w:smartTagPr>
        <w:r>
          <w:rPr>
            <w:sz w:val="24"/>
            <w:szCs w:val="24"/>
          </w:rPr>
          <w:t>107564, г</w:t>
        </w:r>
      </w:smartTag>
      <w:r>
        <w:rPr>
          <w:sz w:val="24"/>
          <w:szCs w:val="24"/>
        </w:rPr>
        <w:t xml:space="preserve">. Москва, </w:t>
      </w:r>
      <w:proofErr w:type="spellStart"/>
      <w:r>
        <w:rPr>
          <w:sz w:val="24"/>
          <w:szCs w:val="24"/>
        </w:rPr>
        <w:t>Яузская</w:t>
      </w:r>
      <w:proofErr w:type="spellEnd"/>
      <w:r>
        <w:rPr>
          <w:sz w:val="24"/>
          <w:szCs w:val="24"/>
        </w:rPr>
        <w:t xml:space="preserve"> аллея, д.2.)</w:t>
      </w:r>
    </w:p>
    <w:p w:rsidR="00C703FE" w:rsidRDefault="00C703FE" w:rsidP="00797BC9">
      <w:pPr>
        <w:spacing w:line="240" w:lineRule="auto"/>
        <w:ind w:left="0" w:right="-24" w:firstLine="567"/>
        <w:jc w:val="both"/>
        <w:rPr>
          <w:sz w:val="24"/>
          <w:szCs w:val="24"/>
        </w:rPr>
      </w:pPr>
    </w:p>
    <w:p w:rsidR="00C703FE" w:rsidRDefault="00C703FE" w:rsidP="00797BC9">
      <w:pPr>
        <w:spacing w:line="240" w:lineRule="auto"/>
        <w:ind w:left="0" w:right="-24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Автореферат разослан «____»___________________     2013г.</w:t>
      </w:r>
    </w:p>
    <w:p w:rsidR="00C703FE" w:rsidRDefault="00C703FE" w:rsidP="008455B3"/>
    <w:p w:rsidR="00C703FE" w:rsidRDefault="00C703FE" w:rsidP="00797BC9">
      <w:pPr>
        <w:spacing w:line="240" w:lineRule="auto"/>
        <w:ind w:left="0" w:right="-24" w:firstLine="567"/>
        <w:jc w:val="both"/>
        <w:rPr>
          <w:sz w:val="24"/>
          <w:szCs w:val="24"/>
        </w:rPr>
      </w:pPr>
      <w:r w:rsidRPr="00797BC9">
        <w:rPr>
          <w:sz w:val="24"/>
          <w:szCs w:val="24"/>
        </w:rPr>
        <w:t>Ученый секретарь диссертационного совета</w:t>
      </w:r>
    </w:p>
    <w:p w:rsidR="00C703FE" w:rsidRPr="00797BC9" w:rsidRDefault="00C703FE" w:rsidP="00797BC9">
      <w:pPr>
        <w:spacing w:line="240" w:lineRule="auto"/>
        <w:ind w:left="0" w:right="-2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ФГБУ «ЦНИИТ РАМН»</w:t>
      </w:r>
    </w:p>
    <w:p w:rsidR="00C703FE" w:rsidRDefault="00C703FE" w:rsidP="00797BC9">
      <w:pPr>
        <w:spacing w:line="240" w:lineRule="auto"/>
        <w:ind w:left="0" w:right="-24" w:firstLine="567"/>
        <w:jc w:val="both"/>
        <w:rPr>
          <w:sz w:val="24"/>
          <w:szCs w:val="24"/>
        </w:rPr>
      </w:pPr>
      <w:r w:rsidRPr="00797BC9">
        <w:rPr>
          <w:sz w:val="24"/>
          <w:szCs w:val="24"/>
        </w:rPr>
        <w:t xml:space="preserve">Доктор медицинских наук                                                      </w:t>
      </w:r>
      <w:proofErr w:type="spellStart"/>
      <w:r w:rsidRPr="00797BC9">
        <w:rPr>
          <w:sz w:val="24"/>
          <w:szCs w:val="24"/>
        </w:rPr>
        <w:t>Юхименко</w:t>
      </w:r>
      <w:proofErr w:type="spellEnd"/>
      <w:r w:rsidRPr="00797BC9">
        <w:rPr>
          <w:sz w:val="24"/>
          <w:szCs w:val="24"/>
        </w:rPr>
        <w:t xml:space="preserve"> Н.В.</w:t>
      </w:r>
    </w:p>
    <w:p w:rsidR="00C703FE" w:rsidRPr="00797BC9" w:rsidRDefault="00C703FE" w:rsidP="00797BC9">
      <w:pPr>
        <w:spacing w:line="240" w:lineRule="auto"/>
        <w:ind w:left="0" w:right="-24" w:firstLine="567"/>
        <w:jc w:val="both"/>
        <w:rPr>
          <w:sz w:val="24"/>
          <w:szCs w:val="24"/>
        </w:rPr>
      </w:pPr>
    </w:p>
    <w:p w:rsidR="00C703FE" w:rsidRPr="00B712E5" w:rsidRDefault="00C703FE" w:rsidP="0022166B">
      <w:pPr>
        <w:ind w:left="0" w:right="0" w:firstLine="0"/>
        <w:rPr>
          <w:b/>
          <w:sz w:val="28"/>
          <w:szCs w:val="28"/>
        </w:rPr>
      </w:pPr>
      <w:r w:rsidRPr="00B712E5">
        <w:rPr>
          <w:b/>
          <w:sz w:val="28"/>
          <w:szCs w:val="28"/>
        </w:rPr>
        <w:t>ВВЕДЕНИЕ</w:t>
      </w:r>
    </w:p>
    <w:p w:rsidR="00C703FE" w:rsidRDefault="00C703FE" w:rsidP="0022166B">
      <w:pPr>
        <w:ind w:left="0" w:right="0" w:firstLine="0"/>
        <w:rPr>
          <w:b/>
          <w:sz w:val="28"/>
          <w:szCs w:val="28"/>
        </w:rPr>
      </w:pPr>
      <w:r w:rsidRPr="00E43366">
        <w:rPr>
          <w:b/>
          <w:sz w:val="28"/>
          <w:szCs w:val="28"/>
        </w:rPr>
        <w:t>Актуальность исследования</w:t>
      </w:r>
    </w:p>
    <w:p w:rsidR="00C703FE" w:rsidRPr="00AE042E" w:rsidRDefault="00C703FE" w:rsidP="0022166B">
      <w:pPr>
        <w:tabs>
          <w:tab w:val="left" w:pos="0"/>
        </w:tabs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042E">
        <w:rPr>
          <w:rFonts w:ascii="Times New Roman" w:hAnsi="Times New Roman"/>
          <w:sz w:val="28"/>
          <w:szCs w:val="28"/>
          <w:lang w:eastAsia="ru-RU"/>
        </w:rPr>
        <w:t>За последние годы распространенность ЭАА знач</w:t>
      </w:r>
      <w:r>
        <w:rPr>
          <w:rFonts w:ascii="Times New Roman" w:hAnsi="Times New Roman"/>
          <w:sz w:val="28"/>
          <w:szCs w:val="28"/>
          <w:lang w:eastAsia="ru-RU"/>
        </w:rPr>
        <w:t xml:space="preserve">ительно возросла, что связано с </w:t>
      </w:r>
      <w:r w:rsidRPr="00AE042E">
        <w:rPr>
          <w:rFonts w:ascii="Times New Roman" w:hAnsi="Times New Roman"/>
          <w:sz w:val="28"/>
          <w:szCs w:val="28"/>
          <w:lang w:eastAsia="ru-RU"/>
        </w:rPr>
        <w:t>развитием частного предпринимательства в промышленности, сельском хозяйстве и сфере услуг, а так же ухудшением экологической обстановки в больших городах (Мухин Н.А.</w:t>
      </w:r>
      <w:r>
        <w:rPr>
          <w:rFonts w:ascii="Times New Roman" w:hAnsi="Times New Roman"/>
          <w:sz w:val="28"/>
          <w:szCs w:val="28"/>
          <w:lang w:eastAsia="ru-RU"/>
        </w:rPr>
        <w:t>, 2007;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Васильева О.С.</w:t>
      </w:r>
      <w:r>
        <w:rPr>
          <w:rFonts w:ascii="Times New Roman" w:hAnsi="Times New Roman"/>
          <w:sz w:val="28"/>
          <w:szCs w:val="28"/>
          <w:lang w:eastAsia="ru-RU"/>
        </w:rPr>
        <w:t>, 2007;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D.B.</w:t>
      </w:r>
      <w:proofErr w:type="gram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Flieder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2004;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F.W. </w:t>
      </w:r>
      <w:proofErr w:type="spellStart"/>
      <w:proofErr w:type="gramStart"/>
      <w:r w:rsidRPr="00AE042E">
        <w:rPr>
          <w:rFonts w:ascii="Times New Roman" w:hAnsi="Times New Roman"/>
          <w:sz w:val="28"/>
          <w:szCs w:val="28"/>
          <w:lang w:eastAsia="ru-RU"/>
        </w:rPr>
        <w:t>Fraunfelder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>, 2004).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Клинико-рентгенологическая картина и функциональные изменения при ЭАА чрезвычайно разнообразны и представлены широким спектром различных по тяжести изменений, что зависит от характера и длительности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антигенного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воздействия, во многом определяющих развитие того или иного варианта заболевания (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Чучалин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А.Г., 2007). Поэтому в повседневной практике ЭАА в большинстве случаев своевременно не диагностируется, что приводит к неадекватному лечению и дальнейшему прогрессированию </w:t>
      </w:r>
      <w:proofErr w:type="gramStart"/>
      <w:r w:rsidRPr="00AE042E">
        <w:rPr>
          <w:rFonts w:ascii="Times New Roman" w:hAnsi="Times New Roman"/>
          <w:sz w:val="28"/>
          <w:szCs w:val="28"/>
          <w:lang w:eastAsia="ru-RU"/>
        </w:rPr>
        <w:t>аллергического</w:t>
      </w:r>
      <w:proofErr w:type="gram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альвеолита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>. Диагностические ошибки по данным ряда авторов  достигают 60-75% (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Иль</w:t>
      </w:r>
      <w:r>
        <w:rPr>
          <w:rFonts w:ascii="Times New Roman" w:hAnsi="Times New Roman"/>
          <w:sz w:val="28"/>
          <w:szCs w:val="28"/>
          <w:lang w:eastAsia="ru-RU"/>
        </w:rPr>
        <w:t>кович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М.М,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Кокосов А.Н., 2005; Шмелев Е.И., 2004;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Филиппов В.П., 2006), что требует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Pr="00AE042E">
        <w:rPr>
          <w:rFonts w:ascii="Times New Roman" w:hAnsi="Times New Roman"/>
          <w:sz w:val="28"/>
          <w:szCs w:val="28"/>
          <w:lang w:eastAsia="ru-RU"/>
        </w:rPr>
        <w:t>изучения и выбора наиболее информативных методов верификации различных вариантов этого заболевания.</w:t>
      </w:r>
    </w:p>
    <w:p w:rsidR="00C703FE" w:rsidRPr="00AE042E" w:rsidRDefault="00C703FE" w:rsidP="0022166B">
      <w:pPr>
        <w:tabs>
          <w:tab w:val="left" w:pos="0"/>
        </w:tabs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42E">
        <w:rPr>
          <w:rFonts w:ascii="Times New Roman" w:hAnsi="Times New Roman"/>
          <w:sz w:val="28"/>
          <w:szCs w:val="28"/>
          <w:lang w:eastAsia="ru-RU"/>
        </w:rPr>
        <w:t xml:space="preserve">Рентгенологическое обследование больных ЭАА не всегда включает компьютерную томографию </w:t>
      </w:r>
      <w:r>
        <w:rPr>
          <w:rFonts w:ascii="Times New Roman" w:hAnsi="Times New Roman"/>
          <w:sz w:val="28"/>
          <w:szCs w:val="28"/>
          <w:lang w:eastAsia="ru-RU"/>
        </w:rPr>
        <w:t xml:space="preserve">легких высокого разрешения </w:t>
      </w:r>
      <w:r w:rsidRPr="00AE042E">
        <w:rPr>
          <w:rFonts w:ascii="Times New Roman" w:hAnsi="Times New Roman"/>
          <w:sz w:val="28"/>
          <w:szCs w:val="28"/>
          <w:lang w:eastAsia="ru-RU"/>
        </w:rPr>
        <w:t>(КТ</w:t>
      </w:r>
      <w:r>
        <w:rPr>
          <w:rFonts w:ascii="Times New Roman" w:hAnsi="Times New Roman"/>
          <w:sz w:val="28"/>
          <w:szCs w:val="28"/>
          <w:lang w:eastAsia="ru-RU"/>
        </w:rPr>
        <w:t>ВР)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и часто ограничивается анализом обзорных рентгенограмм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. Расширенная характеристика КТВР </w:t>
      </w:r>
      <w:r w:rsidRPr="00AE042E">
        <w:rPr>
          <w:rFonts w:ascii="Times New Roman" w:hAnsi="Times New Roman"/>
          <w:sz w:val="28"/>
          <w:szCs w:val="28"/>
          <w:lang w:eastAsia="ru-RU"/>
        </w:rPr>
        <w:t>с учетом патогенеза и сопоставления с данными морфологического исследования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проводится единичными специалистами (Тюрин </w:t>
      </w:r>
      <w:r>
        <w:rPr>
          <w:rFonts w:ascii="Times New Roman" w:hAnsi="Times New Roman"/>
          <w:sz w:val="28"/>
          <w:szCs w:val="28"/>
          <w:lang w:eastAsia="ru-RU"/>
        </w:rPr>
        <w:t>И.С.</w:t>
      </w:r>
      <w:r w:rsidRPr="00AE042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2007;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Антипова А.В., 2008). При этом ряд вопросов по-прежнему требует дальнейшей детализации и осмысления.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Оценка состояния функции легких </w:t>
      </w:r>
      <w:proofErr w:type="gramStart"/>
      <w:r w:rsidRPr="00AE042E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E042E">
        <w:rPr>
          <w:rFonts w:ascii="Times New Roman" w:hAnsi="Times New Roman"/>
          <w:sz w:val="28"/>
          <w:szCs w:val="28"/>
          <w:lang w:eastAsia="ru-RU"/>
        </w:rPr>
        <w:t>экзогенных</w:t>
      </w:r>
      <w:proofErr w:type="gram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альвеолитах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зачастую ограничивается показателями спирометрии и газового состава крови, что не позволяет в полной мере </w:t>
      </w:r>
      <w:r w:rsidRPr="00AE042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установить вариант заболевания в каждом конкретном случае. Определение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газообменной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функции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оценкой 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диффузионной способности </w:t>
      </w:r>
      <w:r>
        <w:rPr>
          <w:rFonts w:ascii="Times New Roman" w:hAnsi="Times New Roman"/>
          <w:sz w:val="28"/>
          <w:szCs w:val="28"/>
          <w:lang w:eastAsia="ru-RU"/>
        </w:rPr>
        <w:t>легких и коэффициента диффузии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выполняются достаточно редко, т.к. требуют современного оборудования и специальной подготовки персонала. Еще реже проводится комплексное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бронхологическое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обследование больных с получением бронхоальвеолярного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лаважа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(БАЛ) и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чрезбронхиальной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биопсии легкого (ЧБЛ). В оценке тканевых и клеточных реакций необходимо использовать возм</w:t>
      </w:r>
      <w:r>
        <w:rPr>
          <w:rFonts w:ascii="Times New Roman" w:hAnsi="Times New Roman"/>
          <w:sz w:val="28"/>
          <w:szCs w:val="28"/>
          <w:lang w:eastAsia="ru-RU"/>
        </w:rPr>
        <w:t>ожности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новых технологий и современных методов исследования клинического материала: конфокальной лазерной м</w:t>
      </w:r>
      <w:r>
        <w:rPr>
          <w:rFonts w:ascii="Times New Roman" w:hAnsi="Times New Roman"/>
          <w:sz w:val="28"/>
          <w:szCs w:val="28"/>
          <w:lang w:eastAsia="ru-RU"/>
        </w:rPr>
        <w:t xml:space="preserve">икроскопии, проточной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цитофлюиро</w:t>
      </w:r>
      <w:r w:rsidRPr="00AE042E">
        <w:rPr>
          <w:rFonts w:ascii="Times New Roman" w:hAnsi="Times New Roman"/>
          <w:sz w:val="28"/>
          <w:szCs w:val="28"/>
          <w:lang w:eastAsia="ru-RU"/>
        </w:rPr>
        <w:t>метрии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и др.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042E">
        <w:rPr>
          <w:rFonts w:ascii="Times New Roman" w:hAnsi="Times New Roman"/>
          <w:sz w:val="28"/>
          <w:szCs w:val="28"/>
          <w:lang w:eastAsia="ru-RU"/>
        </w:rPr>
        <w:t>При анализе крови наряду с традиционным  определением уровня иммуноглобулинов (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IgG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Ig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>A,</w:t>
      </w:r>
      <w:r w:rsidRPr="009A30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Ig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M) и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преципитирующих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антител, важное значение приобретает изучение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субпопуляционного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состава лимфоцитов и характеристика</w:t>
      </w:r>
      <w:proofErr w:type="gramStart"/>
      <w:r w:rsidRPr="00AE042E">
        <w:rPr>
          <w:rFonts w:ascii="Times New Roman" w:hAnsi="Times New Roman"/>
          <w:sz w:val="28"/>
          <w:szCs w:val="28"/>
          <w:lang w:eastAsia="ru-RU"/>
        </w:rPr>
        <w:t xml:space="preserve"> Т</w:t>
      </w:r>
      <w:proofErr w:type="gram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В-клеточного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иммунитета. Отсутствие диагностического алгоритма для разных вариантов ЭАА во многом осложняет разработку программ адекватного лечения таких больных. Применение системных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глюкокортикостероидных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(ГКС)  препаратов остается на сегодняшний день практически единственным методом лечения вне зависимости от характера и вари</w:t>
      </w:r>
      <w:r>
        <w:rPr>
          <w:rFonts w:ascii="Times New Roman" w:hAnsi="Times New Roman"/>
          <w:sz w:val="28"/>
          <w:szCs w:val="28"/>
          <w:lang w:eastAsia="ru-RU"/>
        </w:rPr>
        <w:t>анта течения заболевания</w:t>
      </w:r>
      <w:r w:rsidRPr="00AE042E">
        <w:rPr>
          <w:rFonts w:ascii="Times New Roman" w:hAnsi="Times New Roman"/>
          <w:sz w:val="28"/>
          <w:szCs w:val="28"/>
          <w:lang w:eastAsia="ru-RU"/>
        </w:rPr>
        <w:t>. Однако, побочные эффекты при длительном использовании</w:t>
      </w:r>
      <w:r w:rsidRPr="009A30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ГКС (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увеличение массы тела, </w:t>
      </w:r>
      <w:r>
        <w:rPr>
          <w:rFonts w:ascii="Times New Roman" w:hAnsi="Times New Roman"/>
          <w:sz w:val="28"/>
          <w:szCs w:val="28"/>
          <w:lang w:eastAsia="ru-RU"/>
        </w:rPr>
        <w:t xml:space="preserve">депрессия, снижение </w:t>
      </w:r>
      <w:r w:rsidRPr="00AE042E">
        <w:rPr>
          <w:rFonts w:ascii="Times New Roman" w:hAnsi="Times New Roman"/>
          <w:sz w:val="28"/>
          <w:szCs w:val="28"/>
          <w:lang w:eastAsia="ru-RU"/>
        </w:rPr>
        <w:t>толерантности к глюкозе, язвенное поражение желудочно-кишечного тракта, оппортунистические инфекции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зачастую требую отмены препарата. Наличие тяжелых сопутствующих заболеваний у больных ЭАА так же ограничивает назначение ГКС в общепринятых дозах. Их снижение возможно при использовании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 других 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средств патогенетической терапии, однако, это направление до сих пор не получило должного развития. В отдельных случаях у больных с высоким уровнем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IgG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в крови применяют методы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гемафереза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этом </w:t>
      </w:r>
      <w:r w:rsidRPr="00AE042E">
        <w:rPr>
          <w:rFonts w:ascii="Times New Roman" w:hAnsi="Times New Roman"/>
          <w:sz w:val="28"/>
          <w:szCs w:val="28"/>
          <w:lang w:eastAsia="ru-RU"/>
        </w:rPr>
        <w:t>назначение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гемафереза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нос</w:t>
      </w:r>
      <w:r>
        <w:rPr>
          <w:rFonts w:ascii="Times New Roman" w:hAnsi="Times New Roman"/>
          <w:sz w:val="28"/>
          <w:szCs w:val="28"/>
          <w:lang w:eastAsia="ru-RU"/>
        </w:rPr>
        <w:t>ит скорее эмпирический характер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применяется в сочетании 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системными</w:t>
      </w:r>
      <w:proofErr w:type="gram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ГКС. Вместе с тем в пульмонологической практике </w:t>
      </w:r>
      <w:r>
        <w:rPr>
          <w:rFonts w:ascii="Times New Roman" w:hAnsi="Times New Roman"/>
          <w:sz w:val="28"/>
          <w:szCs w:val="28"/>
          <w:lang w:eastAsia="ru-RU"/>
        </w:rPr>
        <w:t xml:space="preserve">успешно применяют </w:t>
      </w:r>
      <w:r w:rsidRPr="00AE042E">
        <w:rPr>
          <w:rFonts w:ascii="Times New Roman" w:hAnsi="Times New Roman"/>
          <w:sz w:val="28"/>
          <w:szCs w:val="28"/>
          <w:lang w:eastAsia="ru-RU"/>
        </w:rPr>
        <w:t>ингаляционные ГКС препараты (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флютиказон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будесонид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и др.)</w:t>
      </w:r>
      <w:r>
        <w:rPr>
          <w:rFonts w:ascii="Times New Roman" w:hAnsi="Times New Roman"/>
          <w:sz w:val="28"/>
          <w:szCs w:val="28"/>
          <w:lang w:eastAsia="ru-RU"/>
        </w:rPr>
        <w:t xml:space="preserve"> в лечении другого аллергического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заболевания – бронхиальной астмы.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Однако</w:t>
      </w:r>
      <w:proofErr w:type="gramStart"/>
      <w:r w:rsidRPr="00AE042E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возможности ингаляционной ГКС терапии при ЭАА практически не изучены. 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Известно, что препараты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амброксола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и его производные  усиливают функцию не только бокаловидных клеток, но и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альвеолоцитов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2 типа и являются стимулятором выработки эндогенного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сурфактанта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– природного активатора альвеолярных мак</w:t>
      </w:r>
      <w:r>
        <w:rPr>
          <w:rFonts w:ascii="Times New Roman" w:hAnsi="Times New Roman"/>
          <w:sz w:val="28"/>
          <w:szCs w:val="28"/>
          <w:lang w:eastAsia="ru-RU"/>
        </w:rPr>
        <w:t>рофагов 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Лепеха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Л.Н., 1995;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Ерохин В.В., Лепеха Л.Н.</w:t>
      </w:r>
      <w:r>
        <w:rPr>
          <w:rFonts w:ascii="Times New Roman" w:hAnsi="Times New Roman"/>
          <w:sz w:val="28"/>
          <w:szCs w:val="28"/>
          <w:lang w:eastAsia="ru-RU"/>
        </w:rPr>
        <w:t>, 2004;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Карпина Н.Л., </w:t>
      </w:r>
      <w:r>
        <w:rPr>
          <w:rFonts w:ascii="Times New Roman" w:hAnsi="Times New Roman"/>
          <w:sz w:val="28"/>
          <w:szCs w:val="28"/>
          <w:lang w:eastAsia="ru-RU"/>
        </w:rPr>
        <w:t>2007). Учитывая ключевую роль альвеолярных макрофагов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в патогенезе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иммунноклеточного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воспаления, представляется обоснованным включение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амброксола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 - опосредованного активатора этих клеток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в схему лечения больных с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подострым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вариантом ЭАА. Другой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муколитик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N-ацетилцистеин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(NAC), получил в последнее время широкую известность </w:t>
      </w:r>
      <w:r>
        <w:rPr>
          <w:rFonts w:ascii="Times New Roman" w:hAnsi="Times New Roman"/>
          <w:sz w:val="28"/>
          <w:szCs w:val="28"/>
          <w:lang w:eastAsia="ru-RU"/>
        </w:rPr>
        <w:t>как антиоксидант, оказывающий ингибирующее влияние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на генерацию активных форм кислорода и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антиперекисную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актив</w:t>
      </w:r>
      <w:r>
        <w:rPr>
          <w:rFonts w:ascii="Times New Roman" w:hAnsi="Times New Roman"/>
          <w:sz w:val="28"/>
          <w:szCs w:val="28"/>
          <w:lang w:eastAsia="ru-RU"/>
        </w:rPr>
        <w:t>ность плазмы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Чучалин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А.Г. 2007;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Мухин Н.А., 2007). </w:t>
      </w:r>
      <w:r>
        <w:rPr>
          <w:rFonts w:ascii="Times New Roman" w:hAnsi="Times New Roman"/>
          <w:sz w:val="28"/>
          <w:szCs w:val="28"/>
          <w:lang w:eastAsia="ru-RU"/>
        </w:rPr>
        <w:t>Публикации отдельных авторов 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Colbi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2004;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Болевич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С.Б., Коган </w:t>
      </w:r>
      <w:r>
        <w:rPr>
          <w:rFonts w:ascii="Times New Roman" w:hAnsi="Times New Roman"/>
          <w:sz w:val="28"/>
          <w:szCs w:val="28"/>
          <w:lang w:eastAsia="ru-RU"/>
        </w:rPr>
        <w:t xml:space="preserve">Е.А.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соавт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 2007)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указывают на эффективное применение </w:t>
      </w:r>
      <w:r>
        <w:rPr>
          <w:rFonts w:ascii="Times New Roman" w:hAnsi="Times New Roman"/>
          <w:sz w:val="28"/>
          <w:szCs w:val="28"/>
          <w:lang w:val="en-US" w:eastAsia="ru-RU"/>
        </w:rPr>
        <w:t>NAC</w:t>
      </w:r>
      <w:r>
        <w:rPr>
          <w:rFonts w:ascii="Times New Roman" w:hAnsi="Times New Roman"/>
          <w:sz w:val="28"/>
          <w:szCs w:val="28"/>
          <w:lang w:eastAsia="ru-RU"/>
        </w:rPr>
        <w:t xml:space="preserve"> в лечении больных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фиброзирующими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альвеолитами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E042E">
        <w:rPr>
          <w:rFonts w:ascii="Times New Roman" w:hAnsi="Times New Roman"/>
          <w:sz w:val="28"/>
          <w:szCs w:val="28"/>
          <w:lang w:eastAsia="ru-RU"/>
        </w:rPr>
        <w:t>Использование этого препарата в терапии больных с хроническим течением ЭАА представляет определенный практический интерес, хотя до сих пор у этой категории больных он не применялся. Все это раскрывает потенциальные возможности комплексной терапии у боль</w:t>
      </w:r>
      <w:r>
        <w:rPr>
          <w:rFonts w:ascii="Times New Roman" w:hAnsi="Times New Roman"/>
          <w:sz w:val="28"/>
          <w:szCs w:val="28"/>
          <w:lang w:eastAsia="ru-RU"/>
        </w:rPr>
        <w:t>ных с различными вариантами ЭАА, своевременная верификация которых приобретает важное практическое значение.</w:t>
      </w:r>
    </w:p>
    <w:p w:rsidR="00C703FE" w:rsidRPr="00AE042E" w:rsidRDefault="00C703FE" w:rsidP="0022166B">
      <w:pPr>
        <w:ind w:left="0" w:right="-24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AE042E">
        <w:rPr>
          <w:rFonts w:ascii="Times New Roman" w:hAnsi="Times New Roman"/>
          <w:b/>
          <w:sz w:val="28"/>
          <w:szCs w:val="28"/>
          <w:lang w:eastAsia="ru-RU"/>
        </w:rPr>
        <w:t>Цель исследования.</w:t>
      </w:r>
    </w:p>
    <w:p w:rsidR="00C703FE" w:rsidRPr="006D7C96" w:rsidRDefault="00C703FE" w:rsidP="00B712E5">
      <w:pPr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42E">
        <w:rPr>
          <w:rFonts w:ascii="Times New Roman" w:hAnsi="Times New Roman"/>
          <w:sz w:val="28"/>
          <w:szCs w:val="28"/>
          <w:lang w:eastAsia="ru-RU"/>
        </w:rPr>
        <w:t xml:space="preserve"> Повысить эффективность лечения больных с </w:t>
      </w:r>
      <w:proofErr w:type="gramStart"/>
      <w:r w:rsidRPr="00AE042E">
        <w:rPr>
          <w:rFonts w:ascii="Times New Roman" w:hAnsi="Times New Roman"/>
          <w:sz w:val="28"/>
          <w:szCs w:val="28"/>
          <w:lang w:eastAsia="ru-RU"/>
        </w:rPr>
        <w:t>экзогенным</w:t>
      </w:r>
      <w:proofErr w:type="gram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аллергическим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альвеолитом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за счет </w:t>
      </w:r>
      <w:r>
        <w:rPr>
          <w:rFonts w:ascii="Times New Roman" w:hAnsi="Times New Roman"/>
          <w:sz w:val="28"/>
          <w:szCs w:val="28"/>
          <w:lang w:eastAsia="ru-RU"/>
        </w:rPr>
        <w:t xml:space="preserve">изучения патогенеза,  </w:t>
      </w:r>
      <w:r w:rsidRPr="00AE042E">
        <w:rPr>
          <w:rFonts w:ascii="Times New Roman" w:hAnsi="Times New Roman"/>
          <w:sz w:val="28"/>
          <w:szCs w:val="28"/>
          <w:lang w:eastAsia="ru-RU"/>
        </w:rPr>
        <w:t>оптимизации диагностики различных вариантов заболевания и разработки адекватной комплексной терапии для каждого из них.</w:t>
      </w:r>
      <w:r w:rsidRPr="006D7C9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03FE" w:rsidRPr="00AE042E" w:rsidRDefault="00C703FE" w:rsidP="00B712E5">
      <w:pPr>
        <w:ind w:left="0" w:right="-24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AE042E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исследования</w:t>
      </w:r>
      <w:r w:rsidRPr="00AE042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703FE" w:rsidRPr="00AE042E" w:rsidRDefault="00C703FE" w:rsidP="008C171D">
      <w:pPr>
        <w:pStyle w:val="a4"/>
        <w:numPr>
          <w:ilvl w:val="0"/>
          <w:numId w:val="8"/>
        </w:numPr>
        <w:spacing w:after="0" w:line="360" w:lineRule="auto"/>
        <w:ind w:left="0" w:right="-2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42E">
        <w:rPr>
          <w:rFonts w:ascii="Times New Roman" w:hAnsi="Times New Roman"/>
          <w:sz w:val="28"/>
          <w:szCs w:val="28"/>
          <w:lang w:eastAsia="ru-RU"/>
        </w:rPr>
        <w:lastRenderedPageBreak/>
        <w:t>Сопоставить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данные клинической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компьютерно-</w:t>
      </w:r>
      <w:r w:rsidRPr="00AE042E">
        <w:rPr>
          <w:rFonts w:ascii="Times New Roman" w:hAnsi="Times New Roman"/>
          <w:sz w:val="28"/>
          <w:szCs w:val="28"/>
          <w:lang w:eastAsia="ru-RU"/>
        </w:rPr>
        <w:t>томографической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картины ЭАА в зависимости от длительности, характера и природы </w:t>
      </w:r>
      <w:r>
        <w:rPr>
          <w:rFonts w:ascii="Times New Roman" w:hAnsi="Times New Roman"/>
          <w:sz w:val="28"/>
          <w:szCs w:val="28"/>
          <w:lang w:eastAsia="ru-RU"/>
        </w:rPr>
        <w:t>воздействия этиологических факторов (аллергенов).</w:t>
      </w:r>
    </w:p>
    <w:p w:rsidR="00C703FE" w:rsidRPr="00AE042E" w:rsidRDefault="00C703FE" w:rsidP="008C171D">
      <w:pPr>
        <w:pStyle w:val="a4"/>
        <w:numPr>
          <w:ilvl w:val="0"/>
          <w:numId w:val="8"/>
        </w:numPr>
        <w:spacing w:after="0" w:line="360" w:lineRule="auto"/>
        <w:ind w:left="0" w:right="-2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42E">
        <w:rPr>
          <w:rFonts w:ascii="Times New Roman" w:hAnsi="Times New Roman"/>
          <w:sz w:val="28"/>
          <w:szCs w:val="28"/>
          <w:lang w:eastAsia="ru-RU"/>
        </w:rPr>
        <w:t xml:space="preserve">Определить показатели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газообменной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функции легких, бронхиальной проходимости, легочных объемов и емкостей  с помощью спирографии,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бодиплетизмографии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>, исследовании диффузионной способности легких при разных вариантах ЭАА.</w:t>
      </w:r>
    </w:p>
    <w:p w:rsidR="00C703FE" w:rsidRPr="00AE042E" w:rsidRDefault="00C703FE" w:rsidP="008C171D">
      <w:pPr>
        <w:numPr>
          <w:ilvl w:val="0"/>
          <w:numId w:val="8"/>
        </w:numPr>
        <w:spacing w:before="0"/>
        <w:ind w:left="0" w:right="-2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42E">
        <w:rPr>
          <w:rFonts w:ascii="Times New Roman" w:hAnsi="Times New Roman"/>
          <w:sz w:val="28"/>
          <w:szCs w:val="28"/>
          <w:lang w:eastAsia="ru-RU"/>
        </w:rPr>
        <w:t xml:space="preserve">Изучить гистологические особенности респираторного отдела при различных вариантах ЭАА по материалам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трансбронхиальной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видеоторакотомической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042E">
        <w:rPr>
          <w:rFonts w:ascii="Times New Roman" w:hAnsi="Times New Roman"/>
          <w:sz w:val="28"/>
          <w:szCs w:val="28"/>
          <w:lang w:eastAsia="ru-RU"/>
        </w:rPr>
        <w:t>биопсии легкого.</w:t>
      </w:r>
    </w:p>
    <w:p w:rsidR="00C703FE" w:rsidRPr="00AE042E" w:rsidRDefault="00C703FE" w:rsidP="008C171D">
      <w:pPr>
        <w:numPr>
          <w:ilvl w:val="0"/>
          <w:numId w:val="8"/>
        </w:numPr>
        <w:spacing w:before="0"/>
        <w:ind w:left="0" w:right="-2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42E">
        <w:rPr>
          <w:rFonts w:ascii="Times New Roman" w:hAnsi="Times New Roman"/>
          <w:sz w:val="28"/>
          <w:szCs w:val="28"/>
          <w:lang w:eastAsia="ru-RU"/>
        </w:rPr>
        <w:t>Изучить клеточный состав, определит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уровень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лимфоцитарного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апоптоза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, провести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субпопуляционный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анализ лимфоцитов и макрофагов в материале БАЛ и крови больных с разным течением ЭАА.</w:t>
      </w:r>
    </w:p>
    <w:p w:rsidR="00C703FE" w:rsidRPr="00AE042E" w:rsidRDefault="00C703FE" w:rsidP="008C171D">
      <w:pPr>
        <w:numPr>
          <w:ilvl w:val="0"/>
          <w:numId w:val="8"/>
        </w:numPr>
        <w:spacing w:before="0"/>
        <w:ind w:left="0" w:right="-2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42E">
        <w:rPr>
          <w:rFonts w:ascii="Times New Roman" w:hAnsi="Times New Roman"/>
          <w:sz w:val="28"/>
          <w:szCs w:val="28"/>
          <w:lang w:eastAsia="ru-RU"/>
        </w:rPr>
        <w:t xml:space="preserve">Оценить эффективность применения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глюкокортикортикостероидных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препаратов при разных режимах дозирования и способах введения в зависимости от варианта ЭАА.</w:t>
      </w:r>
    </w:p>
    <w:p w:rsidR="00C703FE" w:rsidRDefault="00C703FE" w:rsidP="008C171D">
      <w:pPr>
        <w:pStyle w:val="a4"/>
        <w:numPr>
          <w:ilvl w:val="0"/>
          <w:numId w:val="8"/>
        </w:numPr>
        <w:spacing w:after="0" w:line="360" w:lineRule="auto"/>
        <w:ind w:left="0" w:right="-2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42E">
        <w:rPr>
          <w:rFonts w:ascii="Times New Roman" w:hAnsi="Times New Roman"/>
          <w:sz w:val="28"/>
          <w:szCs w:val="28"/>
          <w:lang w:eastAsia="ru-RU"/>
        </w:rPr>
        <w:t>Разработать режимы применения экстракорпоральных методов  лечения при остром варианте ЭАА.</w:t>
      </w:r>
    </w:p>
    <w:p w:rsidR="00C703FE" w:rsidRPr="005C0C8C" w:rsidRDefault="00C703FE" w:rsidP="005C0C8C">
      <w:pPr>
        <w:numPr>
          <w:ilvl w:val="0"/>
          <w:numId w:val="8"/>
        </w:numPr>
        <w:spacing w:before="0"/>
        <w:ind w:left="0" w:right="-2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C8C">
        <w:rPr>
          <w:rFonts w:ascii="Times New Roman" w:hAnsi="Times New Roman"/>
          <w:sz w:val="28"/>
          <w:szCs w:val="28"/>
          <w:lang w:eastAsia="ru-RU"/>
        </w:rPr>
        <w:t xml:space="preserve">Разработать схемы и оценить эффективность комплексной терапии при </w:t>
      </w:r>
      <w:proofErr w:type="spellStart"/>
      <w:r w:rsidRPr="005C0C8C">
        <w:rPr>
          <w:rFonts w:ascii="Times New Roman" w:hAnsi="Times New Roman"/>
          <w:sz w:val="28"/>
          <w:szCs w:val="28"/>
          <w:lang w:eastAsia="ru-RU"/>
        </w:rPr>
        <w:t>подостром</w:t>
      </w:r>
      <w:proofErr w:type="spellEnd"/>
      <w:r w:rsidRPr="005C0C8C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5C0C8C">
        <w:rPr>
          <w:rFonts w:ascii="Times New Roman" w:hAnsi="Times New Roman"/>
          <w:sz w:val="28"/>
          <w:szCs w:val="28"/>
          <w:lang w:eastAsia="ru-RU"/>
        </w:rPr>
        <w:t>хроническом</w:t>
      </w:r>
      <w:proofErr w:type="gramEnd"/>
      <w:r w:rsidRPr="005C0C8C">
        <w:rPr>
          <w:rFonts w:ascii="Times New Roman" w:hAnsi="Times New Roman"/>
          <w:sz w:val="28"/>
          <w:szCs w:val="28"/>
          <w:lang w:eastAsia="ru-RU"/>
        </w:rPr>
        <w:t xml:space="preserve"> вариантах ЭАА:  ингаляционного применения   </w:t>
      </w:r>
      <w:proofErr w:type="spellStart"/>
      <w:r w:rsidRPr="005C0C8C">
        <w:rPr>
          <w:rFonts w:ascii="Times New Roman" w:hAnsi="Times New Roman"/>
          <w:sz w:val="28"/>
          <w:szCs w:val="28"/>
          <w:lang w:eastAsia="ru-RU"/>
        </w:rPr>
        <w:t>амброксола</w:t>
      </w:r>
      <w:proofErr w:type="spellEnd"/>
      <w:r w:rsidRPr="005C0C8C">
        <w:rPr>
          <w:rFonts w:ascii="Times New Roman" w:hAnsi="Times New Roman"/>
          <w:sz w:val="28"/>
          <w:szCs w:val="28"/>
          <w:lang w:eastAsia="ru-RU"/>
        </w:rPr>
        <w:t xml:space="preserve"> и  высоких доз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C669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5C0C8C">
        <w:rPr>
          <w:rFonts w:ascii="Times New Roman" w:hAnsi="Times New Roman"/>
          <w:sz w:val="28"/>
          <w:szCs w:val="28"/>
          <w:lang w:eastAsia="ru-RU"/>
        </w:rPr>
        <w:t>ацетилцистеина</w:t>
      </w:r>
      <w:proofErr w:type="spellEnd"/>
      <w:r w:rsidRPr="005C0C8C">
        <w:rPr>
          <w:rFonts w:ascii="Times New Roman" w:hAnsi="Times New Roman"/>
          <w:sz w:val="28"/>
          <w:szCs w:val="28"/>
          <w:lang w:eastAsia="ru-RU"/>
        </w:rPr>
        <w:t>.</w:t>
      </w:r>
    </w:p>
    <w:p w:rsidR="00C703FE" w:rsidRPr="00AE042E" w:rsidRDefault="00C703FE" w:rsidP="00B712E5">
      <w:pPr>
        <w:pStyle w:val="a4"/>
        <w:spacing w:line="360" w:lineRule="auto"/>
        <w:ind w:left="0" w:right="-24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042E">
        <w:rPr>
          <w:rFonts w:ascii="Times New Roman" w:hAnsi="Times New Roman"/>
          <w:b/>
          <w:sz w:val="28"/>
          <w:szCs w:val="28"/>
          <w:lang w:eastAsia="ru-RU"/>
        </w:rPr>
        <w:t>Научная новизна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исследования.</w:t>
      </w:r>
    </w:p>
    <w:p w:rsidR="00C703FE" w:rsidRPr="00AE042E" w:rsidRDefault="00C703FE" w:rsidP="00B712E5">
      <w:pPr>
        <w:pStyle w:val="a4"/>
        <w:numPr>
          <w:ilvl w:val="0"/>
          <w:numId w:val="10"/>
        </w:numPr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42E">
        <w:rPr>
          <w:rFonts w:ascii="Times New Roman" w:hAnsi="Times New Roman"/>
          <w:sz w:val="28"/>
          <w:szCs w:val="28"/>
          <w:lang w:eastAsia="ru-RU"/>
        </w:rPr>
        <w:t xml:space="preserve">На основании комплексной клинической, функциональной,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компьютер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AE042E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E042E">
        <w:rPr>
          <w:rFonts w:ascii="Times New Roman" w:hAnsi="Times New Roman"/>
          <w:sz w:val="28"/>
          <w:szCs w:val="28"/>
          <w:lang w:eastAsia="ru-RU"/>
        </w:rPr>
        <w:t>томографической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и цитоморфологической оценки состояния органов дыхания с привлечением новых технологий и современных методов исследования клинического материала, изучен патогенез и характерные проявления различных вариантов  </w:t>
      </w:r>
      <w:r>
        <w:rPr>
          <w:rFonts w:ascii="Times New Roman" w:hAnsi="Times New Roman"/>
          <w:sz w:val="28"/>
          <w:szCs w:val="28"/>
          <w:lang w:eastAsia="ru-RU"/>
        </w:rPr>
        <w:t>ЭАА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, из которых предлагается выделить четыре: острый,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подострый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, хронический, рецидивирующий.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Последний </w:t>
      </w:r>
      <w:r w:rsidRPr="00AE042E">
        <w:rPr>
          <w:rFonts w:ascii="Times New Roman" w:hAnsi="Times New Roman"/>
          <w:sz w:val="28"/>
          <w:szCs w:val="28"/>
          <w:lang w:eastAsia="ru-RU"/>
        </w:rPr>
        <w:t>обоснован и выделен впервые.</w:t>
      </w:r>
    </w:p>
    <w:p w:rsidR="00C703FE" w:rsidRPr="00AE042E" w:rsidRDefault="00C703FE" w:rsidP="00B712E5">
      <w:pPr>
        <w:pStyle w:val="a4"/>
        <w:numPr>
          <w:ilvl w:val="0"/>
          <w:numId w:val="10"/>
        </w:numPr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42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Установлено, что </w:t>
      </w:r>
      <w:proofErr w:type="gramStart"/>
      <w:r w:rsidRPr="00AE042E">
        <w:rPr>
          <w:rFonts w:ascii="Times New Roman" w:hAnsi="Times New Roman"/>
          <w:sz w:val="28"/>
          <w:szCs w:val="28"/>
          <w:lang w:eastAsia="ru-RU"/>
        </w:rPr>
        <w:t>острый</w:t>
      </w:r>
      <w:proofErr w:type="gram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и рецидивирующий вариант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ЭАА наиболее часто вызван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массивной экспозицией плесневых и дрожжеподобных грибов,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подострый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– белками животного происхождения, хронический – длительным «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мелкодозированным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» контактом с </w:t>
      </w:r>
      <w:r>
        <w:rPr>
          <w:rFonts w:ascii="Times New Roman" w:hAnsi="Times New Roman"/>
          <w:sz w:val="28"/>
          <w:szCs w:val="28"/>
          <w:lang w:eastAsia="ru-RU"/>
        </w:rPr>
        <w:t>бумажной и строительной пылью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703FE" w:rsidRPr="00AE042E" w:rsidRDefault="00C703FE" w:rsidP="00B712E5">
      <w:pPr>
        <w:pStyle w:val="a4"/>
        <w:numPr>
          <w:ilvl w:val="0"/>
          <w:numId w:val="10"/>
        </w:numPr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42E">
        <w:rPr>
          <w:rFonts w:ascii="Times New Roman" w:hAnsi="Times New Roman"/>
          <w:sz w:val="28"/>
          <w:szCs w:val="28"/>
          <w:lang w:eastAsia="ru-RU"/>
        </w:rPr>
        <w:t xml:space="preserve">Впервые дана сравнительная характеристика тканевых и клеточных реакций при различных вариантах ЭАА, показана их тесная взаимосвязь с особенностями развития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иммуннокомплексного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воспаления в дистальных отделах легкого. Продемонстрировано определяющее значение современного цитологического и гистологического исследования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БАЛ 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биоптатов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легочной ткани для окончательной верификации диагноза и определения характера воспалительного процесса при экзогенном воздействии на органы дыхания.</w:t>
      </w:r>
    </w:p>
    <w:p w:rsidR="00C703FE" w:rsidRPr="00AE042E" w:rsidRDefault="00C703FE" w:rsidP="00B712E5">
      <w:pPr>
        <w:pStyle w:val="a4"/>
        <w:numPr>
          <w:ilvl w:val="0"/>
          <w:numId w:val="10"/>
        </w:numPr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42E">
        <w:rPr>
          <w:rFonts w:ascii="Times New Roman" w:hAnsi="Times New Roman"/>
          <w:sz w:val="28"/>
          <w:szCs w:val="28"/>
          <w:lang w:eastAsia="ru-RU"/>
        </w:rPr>
        <w:t xml:space="preserve">Обобщены и выделены характерные КТ особенности для каждого варианта ЭАА, </w:t>
      </w:r>
      <w:r>
        <w:rPr>
          <w:rFonts w:ascii="Times New Roman" w:hAnsi="Times New Roman"/>
          <w:sz w:val="28"/>
          <w:szCs w:val="28"/>
          <w:lang w:eastAsia="ru-RU"/>
        </w:rPr>
        <w:t xml:space="preserve">показана </w:t>
      </w:r>
      <w:r w:rsidRPr="00AE042E">
        <w:rPr>
          <w:rFonts w:ascii="Times New Roman" w:hAnsi="Times New Roman"/>
          <w:sz w:val="28"/>
          <w:szCs w:val="28"/>
          <w:lang w:eastAsia="ru-RU"/>
        </w:rPr>
        <w:t>их взаимосвязь с клинической, морфологической картиной заболевания и функциональными отклонениями.</w:t>
      </w:r>
    </w:p>
    <w:p w:rsidR="00C703FE" w:rsidRPr="00AE042E" w:rsidRDefault="00C703FE" w:rsidP="00B712E5">
      <w:pPr>
        <w:pStyle w:val="a4"/>
        <w:numPr>
          <w:ilvl w:val="0"/>
          <w:numId w:val="10"/>
        </w:numPr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42E">
        <w:rPr>
          <w:rFonts w:ascii="Times New Roman" w:hAnsi="Times New Roman"/>
          <w:sz w:val="28"/>
          <w:szCs w:val="28"/>
          <w:lang w:eastAsia="ru-RU"/>
        </w:rPr>
        <w:t xml:space="preserve">Впервые определены показатели макрофагальной формулы БАЛ, уровень некроза и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апоптоза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лимфоцитов, индекс соотношения CD4/CD8, в том числе </w:t>
      </w:r>
      <w:r>
        <w:rPr>
          <w:rFonts w:ascii="Times New Roman" w:hAnsi="Times New Roman"/>
          <w:sz w:val="28"/>
          <w:szCs w:val="28"/>
          <w:lang w:eastAsia="ru-RU"/>
        </w:rPr>
        <w:t xml:space="preserve">в периферической </w:t>
      </w:r>
      <w:r w:rsidRPr="00AE042E">
        <w:rPr>
          <w:rFonts w:ascii="Times New Roman" w:hAnsi="Times New Roman"/>
          <w:sz w:val="28"/>
          <w:szCs w:val="28"/>
          <w:lang w:eastAsia="ru-RU"/>
        </w:rPr>
        <w:t>крови, доказана их диагностическая значимость для каждого из 4 вариантов ЭАА.</w:t>
      </w:r>
    </w:p>
    <w:p w:rsidR="00C703FE" w:rsidRPr="009F0BC4" w:rsidRDefault="00C703FE" w:rsidP="00B712E5">
      <w:pPr>
        <w:pStyle w:val="a4"/>
        <w:numPr>
          <w:ilvl w:val="0"/>
          <w:numId w:val="10"/>
        </w:numPr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BC4">
        <w:rPr>
          <w:rFonts w:ascii="Times New Roman" w:hAnsi="Times New Roman"/>
          <w:sz w:val="28"/>
          <w:szCs w:val="28"/>
          <w:lang w:eastAsia="ru-RU"/>
        </w:rPr>
        <w:t xml:space="preserve">Впервые разработаны 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научно обоснованы </w:t>
      </w:r>
      <w:r w:rsidRPr="009F0BC4">
        <w:rPr>
          <w:rFonts w:ascii="Times New Roman" w:hAnsi="Times New Roman"/>
          <w:sz w:val="28"/>
          <w:szCs w:val="28"/>
          <w:lang w:eastAsia="ru-RU"/>
        </w:rPr>
        <w:t xml:space="preserve">новые схемы комплексного лечения  ЭАА с учетом особенностей патогенеза </w:t>
      </w:r>
      <w:r>
        <w:rPr>
          <w:rFonts w:ascii="Times New Roman" w:hAnsi="Times New Roman"/>
          <w:sz w:val="28"/>
          <w:szCs w:val="28"/>
          <w:lang w:eastAsia="ru-RU"/>
        </w:rPr>
        <w:t xml:space="preserve">и характера течения заболевания: использование ингаляционной терапии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флютиказоном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сочетании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плазмаферезами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при остром варианте, применение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амброксола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качестве опосредованного активатора альвеолярных макрофагов – при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подостром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9F0B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Доказано, что и</w:t>
      </w:r>
      <w:r w:rsidRPr="009F0BC4">
        <w:rPr>
          <w:rFonts w:ascii="Times New Roman" w:hAnsi="Times New Roman"/>
          <w:sz w:val="28"/>
          <w:szCs w:val="28"/>
          <w:lang w:eastAsia="ru-RU"/>
        </w:rPr>
        <w:t xml:space="preserve">спользование высоких доз </w:t>
      </w:r>
      <w:r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F84D2E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9F0BC4">
        <w:rPr>
          <w:rFonts w:ascii="Times New Roman" w:hAnsi="Times New Roman"/>
          <w:sz w:val="28"/>
          <w:szCs w:val="28"/>
          <w:lang w:eastAsia="ru-RU"/>
        </w:rPr>
        <w:t>ацетилцистеина</w:t>
      </w:r>
      <w:proofErr w:type="spellEnd"/>
      <w:r w:rsidRPr="009F0BC4">
        <w:rPr>
          <w:rFonts w:ascii="Times New Roman" w:hAnsi="Times New Roman"/>
          <w:sz w:val="28"/>
          <w:szCs w:val="28"/>
          <w:lang w:eastAsia="ru-RU"/>
        </w:rPr>
        <w:t xml:space="preserve"> в сочетании с </w:t>
      </w:r>
      <w:proofErr w:type="gramStart"/>
      <w:r w:rsidRPr="009F0BC4">
        <w:rPr>
          <w:rFonts w:ascii="Times New Roman" w:hAnsi="Times New Roman"/>
          <w:sz w:val="28"/>
          <w:szCs w:val="28"/>
          <w:lang w:eastAsia="ru-RU"/>
        </w:rPr>
        <w:t>системными</w:t>
      </w:r>
      <w:proofErr w:type="gramEnd"/>
      <w:r w:rsidRPr="009F0BC4">
        <w:rPr>
          <w:rFonts w:ascii="Times New Roman" w:hAnsi="Times New Roman"/>
          <w:sz w:val="28"/>
          <w:szCs w:val="28"/>
          <w:lang w:eastAsia="ru-RU"/>
        </w:rPr>
        <w:t xml:space="preserve"> ГКС в лечении больных с хроническим вариантом ЭАА менее эффективно, чем комбинация ГКС и цитостатических препаратов.</w:t>
      </w:r>
    </w:p>
    <w:p w:rsidR="00C703FE" w:rsidRPr="00AE042E" w:rsidRDefault="00C703FE" w:rsidP="00B712E5">
      <w:pPr>
        <w:pStyle w:val="a4"/>
        <w:spacing w:line="360" w:lineRule="auto"/>
        <w:ind w:left="0" w:right="-24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042E">
        <w:rPr>
          <w:rFonts w:ascii="Times New Roman" w:hAnsi="Times New Roman"/>
          <w:b/>
          <w:sz w:val="28"/>
          <w:szCs w:val="28"/>
          <w:lang w:eastAsia="ru-RU"/>
        </w:rPr>
        <w:t>Практическая значимость.</w:t>
      </w:r>
    </w:p>
    <w:p w:rsidR="00C703FE" w:rsidRDefault="00C703FE" w:rsidP="00B712E5">
      <w:pPr>
        <w:pStyle w:val="a5"/>
        <w:numPr>
          <w:ilvl w:val="0"/>
          <w:numId w:val="11"/>
        </w:numPr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9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Показана необходимость выделения 4 вариантов ЭАА: острого, </w:t>
      </w:r>
      <w:proofErr w:type="spellStart"/>
      <w:r w:rsidRPr="001A1948">
        <w:rPr>
          <w:rFonts w:ascii="Times New Roman" w:hAnsi="Times New Roman"/>
          <w:sz w:val="28"/>
          <w:szCs w:val="28"/>
          <w:lang w:eastAsia="ru-RU"/>
        </w:rPr>
        <w:t>подосторого</w:t>
      </w:r>
      <w:proofErr w:type="spellEnd"/>
      <w:r w:rsidRPr="001A1948">
        <w:rPr>
          <w:rFonts w:ascii="Times New Roman" w:hAnsi="Times New Roman"/>
          <w:sz w:val="28"/>
          <w:szCs w:val="28"/>
          <w:lang w:eastAsia="ru-RU"/>
        </w:rPr>
        <w:t xml:space="preserve">, хронического, рецидивирующего. Для каждого из них  предложен диагностический алгоритм, включающий </w:t>
      </w:r>
      <w:r>
        <w:rPr>
          <w:rFonts w:ascii="Times New Roman" w:hAnsi="Times New Roman"/>
          <w:sz w:val="28"/>
          <w:szCs w:val="28"/>
          <w:lang w:eastAsia="ru-RU"/>
        </w:rPr>
        <w:t>кумулятивный индекс (</w:t>
      </w:r>
      <w:r w:rsidRPr="001A1948">
        <w:rPr>
          <w:rFonts w:ascii="Times New Roman" w:hAnsi="Times New Roman"/>
          <w:sz w:val="28"/>
          <w:szCs w:val="28"/>
          <w:lang w:eastAsia="ru-RU"/>
        </w:rPr>
        <w:t>КИ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1A194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компьютерную томографию легких высокого разрешения (</w:t>
      </w:r>
      <w:r w:rsidRPr="001A1948">
        <w:rPr>
          <w:rFonts w:ascii="Times New Roman" w:hAnsi="Times New Roman"/>
          <w:sz w:val="28"/>
          <w:szCs w:val="28"/>
          <w:lang w:eastAsia="ru-RU"/>
        </w:rPr>
        <w:t>КТВР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1A1948">
        <w:rPr>
          <w:rFonts w:ascii="Times New Roman" w:hAnsi="Times New Roman"/>
          <w:sz w:val="28"/>
          <w:szCs w:val="28"/>
          <w:lang w:eastAsia="ru-RU"/>
        </w:rPr>
        <w:t xml:space="preserve">, функцию дыхания и морфологические данные.  </w:t>
      </w:r>
    </w:p>
    <w:p w:rsidR="00C703FE" w:rsidRPr="00E23907" w:rsidRDefault="00C703FE" w:rsidP="009C3A1C">
      <w:pPr>
        <w:pStyle w:val="a5"/>
        <w:numPr>
          <w:ilvl w:val="0"/>
          <w:numId w:val="11"/>
        </w:numPr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907">
        <w:rPr>
          <w:rFonts w:ascii="Times New Roman" w:hAnsi="Times New Roman"/>
          <w:sz w:val="28"/>
          <w:szCs w:val="28"/>
          <w:lang w:eastAsia="ru-RU"/>
        </w:rPr>
        <w:t xml:space="preserve">Показана высокая диагностическая и прогностическая значимость </w:t>
      </w:r>
      <w:proofErr w:type="spellStart"/>
      <w:r w:rsidRPr="00E23907">
        <w:rPr>
          <w:rFonts w:ascii="Times New Roman" w:hAnsi="Times New Roman"/>
          <w:sz w:val="28"/>
          <w:szCs w:val="28"/>
          <w:lang w:eastAsia="ru-RU"/>
        </w:rPr>
        <w:t>бронхологических</w:t>
      </w:r>
      <w:proofErr w:type="spellEnd"/>
      <w:r w:rsidRPr="00E23907">
        <w:rPr>
          <w:rFonts w:ascii="Times New Roman" w:hAnsi="Times New Roman"/>
          <w:sz w:val="28"/>
          <w:szCs w:val="28"/>
          <w:lang w:eastAsia="ru-RU"/>
        </w:rPr>
        <w:t xml:space="preserve"> методов  исследования с получением материалов биопсии легкого и особенно БАЛ для  последующей оценки  макрофагальной формулы,  </w:t>
      </w:r>
      <w:proofErr w:type="spellStart"/>
      <w:r w:rsidRPr="00E23907">
        <w:rPr>
          <w:rFonts w:ascii="Times New Roman" w:hAnsi="Times New Roman"/>
          <w:sz w:val="28"/>
          <w:szCs w:val="28"/>
          <w:lang w:eastAsia="ru-RU"/>
        </w:rPr>
        <w:t>субпопуляционного</w:t>
      </w:r>
      <w:proofErr w:type="spellEnd"/>
      <w:r w:rsidRPr="00E23907">
        <w:rPr>
          <w:rFonts w:ascii="Times New Roman" w:hAnsi="Times New Roman"/>
          <w:sz w:val="28"/>
          <w:szCs w:val="28"/>
          <w:lang w:eastAsia="ru-RU"/>
        </w:rPr>
        <w:t xml:space="preserve"> состава лимфоцитов и уровня </w:t>
      </w:r>
      <w:proofErr w:type="spellStart"/>
      <w:r w:rsidRPr="00E23907">
        <w:rPr>
          <w:rFonts w:ascii="Times New Roman" w:hAnsi="Times New Roman"/>
          <w:sz w:val="28"/>
          <w:szCs w:val="28"/>
          <w:lang w:eastAsia="ru-RU"/>
        </w:rPr>
        <w:t>лимфоцитарного</w:t>
      </w:r>
      <w:proofErr w:type="spellEnd"/>
      <w:r w:rsidRPr="00E239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23907">
        <w:rPr>
          <w:rFonts w:ascii="Times New Roman" w:hAnsi="Times New Roman"/>
          <w:sz w:val="28"/>
          <w:szCs w:val="28"/>
          <w:lang w:eastAsia="ru-RU"/>
        </w:rPr>
        <w:t>апоптоза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ч</w:t>
      </w:r>
      <w:r w:rsidRPr="00E23907">
        <w:rPr>
          <w:rFonts w:ascii="Times New Roman" w:hAnsi="Times New Roman"/>
          <w:sz w:val="28"/>
          <w:szCs w:val="28"/>
          <w:lang w:eastAsia="ru-RU"/>
        </w:rPr>
        <w:t xml:space="preserve">то определяет  необходимость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E23907">
        <w:rPr>
          <w:rFonts w:ascii="Times New Roman" w:hAnsi="Times New Roman"/>
          <w:sz w:val="28"/>
          <w:szCs w:val="28"/>
          <w:lang w:eastAsia="ru-RU"/>
        </w:rPr>
        <w:t xml:space="preserve">включения их в обязательную диагностическую программу обследования больного ЭАА. </w:t>
      </w:r>
    </w:p>
    <w:p w:rsidR="00C703FE" w:rsidRDefault="00C703FE" w:rsidP="009C3A1C">
      <w:pPr>
        <w:pStyle w:val="a5"/>
        <w:numPr>
          <w:ilvl w:val="0"/>
          <w:numId w:val="11"/>
        </w:numPr>
        <w:spacing w:after="0" w:line="360" w:lineRule="auto"/>
        <w:ind w:left="0" w:right="-24" w:firstLine="567"/>
        <w:rPr>
          <w:rFonts w:ascii="Times New Roman" w:hAnsi="Times New Roman"/>
          <w:sz w:val="28"/>
          <w:szCs w:val="28"/>
          <w:lang w:eastAsia="ru-RU"/>
        </w:rPr>
      </w:pPr>
      <w:r w:rsidRPr="00E23907">
        <w:rPr>
          <w:rFonts w:ascii="Times New Roman" w:hAnsi="Times New Roman"/>
          <w:sz w:val="28"/>
          <w:szCs w:val="28"/>
          <w:lang w:eastAsia="ru-RU"/>
        </w:rPr>
        <w:t xml:space="preserve">    Установлена эффективность </w:t>
      </w:r>
      <w:proofErr w:type="spellStart"/>
      <w:r w:rsidRPr="00E23907">
        <w:rPr>
          <w:rFonts w:ascii="Times New Roman" w:hAnsi="Times New Roman"/>
          <w:sz w:val="28"/>
          <w:szCs w:val="28"/>
          <w:lang w:eastAsia="ru-RU"/>
        </w:rPr>
        <w:t>цитофлюориметрического</w:t>
      </w:r>
      <w:proofErr w:type="spellEnd"/>
      <w:r w:rsidRPr="00E23907">
        <w:rPr>
          <w:rFonts w:ascii="Times New Roman" w:hAnsi="Times New Roman"/>
          <w:sz w:val="28"/>
          <w:szCs w:val="28"/>
          <w:lang w:eastAsia="ru-RU"/>
        </w:rPr>
        <w:t xml:space="preserve"> исследования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периферической </w:t>
      </w:r>
      <w:r w:rsidRPr="00E23907">
        <w:rPr>
          <w:rFonts w:ascii="Times New Roman" w:hAnsi="Times New Roman"/>
          <w:sz w:val="28"/>
          <w:szCs w:val="28"/>
          <w:lang w:eastAsia="ru-RU"/>
        </w:rPr>
        <w:t xml:space="preserve">  крови с изучением относительного процентного содержания Т и В лимфоцитов, Н</w:t>
      </w:r>
      <w:proofErr w:type="gramStart"/>
      <w:r w:rsidRPr="00E23907">
        <w:rPr>
          <w:rFonts w:ascii="Times New Roman" w:hAnsi="Times New Roman"/>
          <w:sz w:val="28"/>
          <w:szCs w:val="28"/>
          <w:lang w:eastAsia="ru-RU"/>
        </w:rPr>
        <w:t>К-</w:t>
      </w:r>
      <w:proofErr w:type="gramEnd"/>
      <w:r w:rsidRPr="00E23907">
        <w:rPr>
          <w:rFonts w:ascii="Times New Roman" w:hAnsi="Times New Roman"/>
          <w:sz w:val="28"/>
          <w:szCs w:val="28"/>
          <w:lang w:eastAsia="ru-RU"/>
        </w:rPr>
        <w:t xml:space="preserve"> клеток, соотношения CD4/CD8   для характера течения ЭАА. Показано, что традиционное определение уровня </w:t>
      </w:r>
      <w:proofErr w:type="spellStart"/>
      <w:r w:rsidRPr="00E23907">
        <w:rPr>
          <w:rFonts w:ascii="Times New Roman" w:hAnsi="Times New Roman"/>
          <w:sz w:val="28"/>
          <w:szCs w:val="28"/>
          <w:lang w:eastAsia="ru-RU"/>
        </w:rPr>
        <w:t>преципитирующих</w:t>
      </w:r>
      <w:proofErr w:type="spellEnd"/>
      <w:r w:rsidRPr="00E23907">
        <w:rPr>
          <w:rFonts w:ascii="Times New Roman" w:hAnsi="Times New Roman"/>
          <w:sz w:val="28"/>
          <w:szCs w:val="28"/>
          <w:lang w:eastAsia="ru-RU"/>
        </w:rPr>
        <w:t xml:space="preserve"> антител и иммуноглобулинов класса M и G </w:t>
      </w:r>
      <w:r>
        <w:rPr>
          <w:rFonts w:ascii="Times New Roman" w:hAnsi="Times New Roman"/>
          <w:sz w:val="28"/>
          <w:szCs w:val="28"/>
          <w:lang w:eastAsia="ru-RU"/>
        </w:rPr>
        <w:t xml:space="preserve">имеет </w:t>
      </w:r>
      <w:r w:rsidRPr="00E23907">
        <w:rPr>
          <w:rFonts w:ascii="Times New Roman" w:hAnsi="Times New Roman"/>
          <w:sz w:val="28"/>
          <w:szCs w:val="28"/>
          <w:lang w:eastAsia="ru-RU"/>
        </w:rPr>
        <w:t xml:space="preserve">значение только при остром варианте заболевания. </w:t>
      </w:r>
    </w:p>
    <w:p w:rsidR="00C703FE" w:rsidRDefault="00C703FE" w:rsidP="009C3A1C">
      <w:pPr>
        <w:pStyle w:val="a5"/>
        <w:numPr>
          <w:ilvl w:val="0"/>
          <w:numId w:val="11"/>
        </w:numPr>
        <w:spacing w:after="0" w:line="360" w:lineRule="auto"/>
        <w:ind w:left="0" w:right="-24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Разработан комплекс лечебных мероприятий с учетом особенностей патогенеза и течения заболевания, что </w:t>
      </w:r>
      <w:r w:rsidRPr="009F0BC4">
        <w:rPr>
          <w:rFonts w:ascii="Times New Roman" w:hAnsi="Times New Roman"/>
          <w:sz w:val="28"/>
          <w:szCs w:val="28"/>
          <w:lang w:eastAsia="ru-RU"/>
        </w:rPr>
        <w:t>позволило добиться такой же эффективности как при традиционной терапии системными ГКС, но снизить число и выраженность нежелательных побочны</w:t>
      </w:r>
      <w:r>
        <w:rPr>
          <w:rFonts w:ascii="Times New Roman" w:hAnsi="Times New Roman"/>
          <w:sz w:val="28"/>
          <w:szCs w:val="28"/>
          <w:lang w:eastAsia="ru-RU"/>
        </w:rPr>
        <w:t>х эффектов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стероидной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терапии. П</w:t>
      </w:r>
      <w:r w:rsidRPr="009F0BC4">
        <w:rPr>
          <w:rFonts w:ascii="Times New Roman" w:hAnsi="Times New Roman"/>
          <w:sz w:val="28"/>
          <w:szCs w:val="28"/>
          <w:lang w:eastAsia="ru-RU"/>
        </w:rPr>
        <w:t xml:space="preserve">ри остром варианте комплекс терапевтических мероприятий, включающих комбинацию </w:t>
      </w:r>
      <w:proofErr w:type="spellStart"/>
      <w:r w:rsidRPr="009F0BC4">
        <w:rPr>
          <w:rFonts w:ascii="Times New Roman" w:hAnsi="Times New Roman"/>
          <w:sz w:val="28"/>
          <w:szCs w:val="28"/>
          <w:lang w:eastAsia="ru-RU"/>
        </w:rPr>
        <w:t>флютиказона</w:t>
      </w:r>
      <w:proofErr w:type="spellEnd"/>
      <w:r w:rsidRPr="009F0BC4">
        <w:rPr>
          <w:rFonts w:ascii="Times New Roman" w:hAnsi="Times New Roman"/>
          <w:sz w:val="28"/>
          <w:szCs w:val="28"/>
          <w:lang w:eastAsia="ru-RU"/>
        </w:rPr>
        <w:t xml:space="preserve"> (2500 мг/</w:t>
      </w:r>
      <w:proofErr w:type="spellStart"/>
      <w:r w:rsidRPr="009F0BC4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9F0BC4">
        <w:rPr>
          <w:rFonts w:ascii="Times New Roman" w:hAnsi="Times New Roman"/>
          <w:sz w:val="28"/>
          <w:szCs w:val="28"/>
          <w:lang w:eastAsia="ru-RU"/>
        </w:rPr>
        <w:t xml:space="preserve">.) и </w:t>
      </w:r>
      <w:proofErr w:type="spellStart"/>
      <w:r w:rsidRPr="009F0BC4">
        <w:rPr>
          <w:rFonts w:ascii="Times New Roman" w:hAnsi="Times New Roman"/>
          <w:sz w:val="28"/>
          <w:szCs w:val="28"/>
          <w:lang w:eastAsia="ru-RU"/>
        </w:rPr>
        <w:t>плазмафереза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9F0BC4">
        <w:rPr>
          <w:rFonts w:ascii="Times New Roman" w:hAnsi="Times New Roman"/>
          <w:sz w:val="28"/>
          <w:szCs w:val="28"/>
          <w:lang w:eastAsia="ru-RU"/>
        </w:rPr>
        <w:t xml:space="preserve"> позволил полностью отказатьс</w:t>
      </w:r>
      <w:r>
        <w:rPr>
          <w:rFonts w:ascii="Times New Roman" w:hAnsi="Times New Roman"/>
          <w:sz w:val="28"/>
          <w:szCs w:val="28"/>
          <w:lang w:eastAsia="ru-RU"/>
        </w:rPr>
        <w:t>я от применения системных ГКС, п</w:t>
      </w:r>
      <w:r w:rsidRPr="009F0BC4">
        <w:rPr>
          <w:rFonts w:ascii="Times New Roman" w:hAnsi="Times New Roman"/>
          <w:sz w:val="28"/>
          <w:szCs w:val="28"/>
          <w:lang w:eastAsia="ru-RU"/>
        </w:rPr>
        <w:t xml:space="preserve">ри </w:t>
      </w:r>
      <w:proofErr w:type="spellStart"/>
      <w:r w:rsidRPr="009F0BC4">
        <w:rPr>
          <w:rFonts w:ascii="Times New Roman" w:hAnsi="Times New Roman"/>
          <w:sz w:val="28"/>
          <w:szCs w:val="28"/>
          <w:lang w:eastAsia="ru-RU"/>
        </w:rPr>
        <w:t>подостром</w:t>
      </w:r>
      <w:proofErr w:type="spellEnd"/>
      <w:r w:rsidRPr="009F0BC4">
        <w:rPr>
          <w:rFonts w:ascii="Times New Roman" w:hAnsi="Times New Roman"/>
          <w:sz w:val="28"/>
          <w:szCs w:val="28"/>
          <w:lang w:eastAsia="ru-RU"/>
        </w:rPr>
        <w:t xml:space="preserve"> - снизить дозу  применяемых системных ГКС вдвое.</w:t>
      </w:r>
    </w:p>
    <w:p w:rsidR="00C703FE" w:rsidRPr="009C3A1C" w:rsidRDefault="00C703FE" w:rsidP="009C3A1C">
      <w:pPr>
        <w:pStyle w:val="a5"/>
        <w:spacing w:after="0" w:line="360" w:lineRule="auto"/>
        <w:ind w:left="567" w:right="-24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3A1C">
        <w:rPr>
          <w:rFonts w:ascii="Times New Roman" w:hAnsi="Times New Roman"/>
          <w:b/>
          <w:sz w:val="28"/>
          <w:szCs w:val="28"/>
          <w:lang w:eastAsia="ru-RU"/>
        </w:rPr>
        <w:t>Положения</w:t>
      </w:r>
      <w:proofErr w:type="gramEnd"/>
      <w:r w:rsidRPr="009C3A1C">
        <w:rPr>
          <w:rFonts w:ascii="Times New Roman" w:hAnsi="Times New Roman"/>
          <w:b/>
          <w:sz w:val="28"/>
          <w:szCs w:val="28"/>
          <w:lang w:eastAsia="ru-RU"/>
        </w:rPr>
        <w:t xml:space="preserve"> выносимые на защиту.</w:t>
      </w:r>
    </w:p>
    <w:p w:rsidR="00C703FE" w:rsidRDefault="00C703FE" w:rsidP="009F3E90">
      <w:pPr>
        <w:pStyle w:val="a4"/>
        <w:numPr>
          <w:ilvl w:val="0"/>
          <w:numId w:val="9"/>
        </w:numPr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42E">
        <w:rPr>
          <w:rFonts w:ascii="Times New Roman" w:hAnsi="Times New Roman"/>
          <w:sz w:val="28"/>
          <w:szCs w:val="28"/>
          <w:lang w:eastAsia="ru-RU"/>
        </w:rPr>
        <w:t xml:space="preserve"> На основании изучения патогенеза и особенностей клинических,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компьютер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AE042E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E042E">
        <w:rPr>
          <w:rFonts w:ascii="Times New Roman" w:hAnsi="Times New Roman"/>
          <w:sz w:val="28"/>
          <w:szCs w:val="28"/>
          <w:lang w:eastAsia="ru-RU"/>
        </w:rPr>
        <w:t>томографических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и функциональных проявлений ЭАА выделены четыре варианта его течения: острый,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подострый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, хронический, рецидивирующий. </w:t>
      </w:r>
    </w:p>
    <w:p w:rsidR="00C703FE" w:rsidRPr="00AE042E" w:rsidRDefault="00C703FE" w:rsidP="009F3E90">
      <w:pPr>
        <w:pStyle w:val="a4"/>
        <w:numPr>
          <w:ilvl w:val="0"/>
          <w:numId w:val="9"/>
        </w:numPr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42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Дана 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характеристика </w:t>
      </w:r>
      <w:r w:rsidRPr="00AE042E">
        <w:rPr>
          <w:rFonts w:ascii="Times New Roman" w:hAnsi="Times New Roman"/>
          <w:sz w:val="28"/>
          <w:szCs w:val="28"/>
          <w:lang w:eastAsia="ru-RU"/>
        </w:rPr>
        <w:t>клинических, рентгенологических, функциональных и морфологических  п</w:t>
      </w:r>
      <w:r>
        <w:rPr>
          <w:rFonts w:ascii="Times New Roman" w:hAnsi="Times New Roman"/>
          <w:sz w:val="28"/>
          <w:szCs w:val="28"/>
          <w:lang w:eastAsia="ru-RU"/>
        </w:rPr>
        <w:t>роявлений каждого из вариантов ЭАА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 с учетом характера, длительности и природы </w:t>
      </w:r>
      <w:r>
        <w:rPr>
          <w:rFonts w:ascii="Times New Roman" w:hAnsi="Times New Roman"/>
          <w:sz w:val="28"/>
          <w:szCs w:val="28"/>
          <w:lang w:eastAsia="ru-RU"/>
        </w:rPr>
        <w:t>воздействия этиологических факторов (аллергенов).</w:t>
      </w:r>
    </w:p>
    <w:p w:rsidR="00C703FE" w:rsidRPr="00AE042E" w:rsidRDefault="00C703FE" w:rsidP="009F3E90">
      <w:pPr>
        <w:pStyle w:val="a4"/>
        <w:numPr>
          <w:ilvl w:val="0"/>
          <w:numId w:val="9"/>
        </w:numPr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Определены 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показатели тканевых и клеточных реакций в легочной ткани, материале БАЛ и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периферической 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крови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лабораторной диагностики различных 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вариантов ЭАА. </w:t>
      </w:r>
    </w:p>
    <w:p w:rsidR="00C703FE" w:rsidRPr="00AE042E" w:rsidRDefault="00C703FE" w:rsidP="009F3E90">
      <w:pPr>
        <w:pStyle w:val="a4"/>
        <w:numPr>
          <w:ilvl w:val="0"/>
          <w:numId w:val="9"/>
        </w:numPr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42E">
        <w:rPr>
          <w:rFonts w:ascii="Times New Roman" w:hAnsi="Times New Roman"/>
          <w:sz w:val="28"/>
          <w:szCs w:val="28"/>
          <w:lang w:eastAsia="ru-RU"/>
        </w:rPr>
        <w:t xml:space="preserve">Установлено, что использование в лечении острого варианта ЭАА высоких доз 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флютиказона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(до 2500 мкг) в комплексе с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плазмаферезами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является не менее эффективным методом терапии, чем применение </w:t>
      </w:r>
      <w:r>
        <w:rPr>
          <w:rFonts w:ascii="Times New Roman" w:hAnsi="Times New Roman"/>
          <w:sz w:val="28"/>
          <w:szCs w:val="28"/>
          <w:lang w:eastAsia="ru-RU"/>
        </w:rPr>
        <w:t>системных ГКС в дозе 15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мг/сутки.</w:t>
      </w:r>
    </w:p>
    <w:p w:rsidR="00C703FE" w:rsidRDefault="00C703FE" w:rsidP="00B712E5">
      <w:pPr>
        <w:pStyle w:val="a4"/>
        <w:numPr>
          <w:ilvl w:val="0"/>
          <w:numId w:val="9"/>
        </w:numPr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Разработана и апробирована схема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комплексного лечения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подострого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варианта ЭАА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 с применением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амброксола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как опосредованного активатора макрофагальной реакции. Установлено,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длительная 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ингаляционная терапия </w:t>
      </w:r>
      <w:proofErr w:type="spellStart"/>
      <w:r w:rsidRPr="00AE042E">
        <w:rPr>
          <w:rFonts w:ascii="Times New Roman" w:hAnsi="Times New Roman"/>
          <w:sz w:val="28"/>
          <w:szCs w:val="28"/>
          <w:lang w:eastAsia="ru-RU"/>
        </w:rPr>
        <w:t>амброксолом</w:t>
      </w:r>
      <w:proofErr w:type="spellEnd"/>
      <w:r w:rsidRPr="00AE04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(в дозе 15 мг/сутки) </w:t>
      </w:r>
      <w:r w:rsidRPr="00AE042E">
        <w:rPr>
          <w:rFonts w:ascii="Times New Roman" w:hAnsi="Times New Roman"/>
          <w:sz w:val="28"/>
          <w:szCs w:val="28"/>
          <w:lang w:eastAsia="ru-RU"/>
        </w:rPr>
        <w:t xml:space="preserve">позволяет снизить дозу системных ГКС до 10 мг/сутки и добиться эффективного лечения больных этой группы.  </w:t>
      </w:r>
    </w:p>
    <w:p w:rsidR="00C703FE" w:rsidRPr="00AE042E" w:rsidRDefault="00C703FE" w:rsidP="00B712E5">
      <w:pPr>
        <w:pStyle w:val="a4"/>
        <w:numPr>
          <w:ilvl w:val="0"/>
          <w:numId w:val="9"/>
        </w:numPr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Показано, что использование высоких доз </w:t>
      </w:r>
      <w:r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AB585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ацетилцистеина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(1800мг/сутки) в сочетании 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системными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ГКС малоэффективно при наличии фиброзных изменений, характерных для хронического ЭАА</w:t>
      </w:r>
      <w:r w:rsidRPr="00AE042E">
        <w:rPr>
          <w:rFonts w:ascii="Times New Roman" w:hAnsi="Times New Roman"/>
          <w:sz w:val="28"/>
          <w:szCs w:val="28"/>
          <w:lang w:eastAsia="ru-RU"/>
        </w:rPr>
        <w:t>.</w:t>
      </w:r>
    </w:p>
    <w:p w:rsidR="00C703FE" w:rsidRPr="003112B2" w:rsidRDefault="00C703FE" w:rsidP="007018ED">
      <w:pPr>
        <w:pStyle w:val="a4"/>
        <w:numPr>
          <w:ilvl w:val="0"/>
          <w:numId w:val="9"/>
        </w:numPr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2B2">
        <w:rPr>
          <w:rFonts w:ascii="Times New Roman" w:hAnsi="Times New Roman"/>
          <w:sz w:val="28"/>
          <w:szCs w:val="28"/>
          <w:lang w:eastAsia="ru-RU"/>
        </w:rPr>
        <w:t xml:space="preserve">Предложенные схемы комплексной терапии при </w:t>
      </w:r>
      <w:proofErr w:type="gramStart"/>
      <w:r w:rsidRPr="003112B2">
        <w:rPr>
          <w:rFonts w:ascii="Times New Roman" w:hAnsi="Times New Roman"/>
          <w:sz w:val="28"/>
          <w:szCs w:val="28"/>
          <w:lang w:eastAsia="ru-RU"/>
        </w:rPr>
        <w:t>остром</w:t>
      </w:r>
      <w:proofErr w:type="gramEnd"/>
      <w:r w:rsidRPr="003112B2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3112B2">
        <w:rPr>
          <w:rFonts w:ascii="Times New Roman" w:hAnsi="Times New Roman"/>
          <w:sz w:val="28"/>
          <w:szCs w:val="28"/>
          <w:lang w:eastAsia="ru-RU"/>
        </w:rPr>
        <w:t>подостром</w:t>
      </w:r>
      <w:proofErr w:type="spellEnd"/>
      <w:r w:rsidRPr="003112B2">
        <w:rPr>
          <w:rFonts w:ascii="Times New Roman" w:hAnsi="Times New Roman"/>
          <w:sz w:val="28"/>
          <w:szCs w:val="28"/>
          <w:lang w:eastAsia="ru-RU"/>
        </w:rPr>
        <w:t xml:space="preserve"> вариантах ЭАА, позволяют снизить число побочных эффектов от применения системных ГКС препаратов и минимизировать развитие декомпенсации сопутствующей патологии у больных </w:t>
      </w:r>
      <w:r>
        <w:rPr>
          <w:rFonts w:ascii="Times New Roman" w:hAnsi="Times New Roman"/>
          <w:sz w:val="28"/>
          <w:szCs w:val="28"/>
          <w:lang w:eastAsia="ru-RU"/>
        </w:rPr>
        <w:t>этих групп.</w:t>
      </w:r>
    </w:p>
    <w:p w:rsidR="00C703FE" w:rsidRDefault="00C703FE" w:rsidP="007018ED">
      <w:pPr>
        <w:pStyle w:val="a4"/>
        <w:spacing w:after="0" w:line="360" w:lineRule="auto"/>
        <w:ind w:left="0" w:right="-24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03FE" w:rsidRDefault="00C703FE" w:rsidP="007018ED">
      <w:pPr>
        <w:pStyle w:val="a4"/>
        <w:spacing w:after="0" w:line="360" w:lineRule="auto"/>
        <w:ind w:left="0" w:right="-24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6ED3">
        <w:rPr>
          <w:rFonts w:ascii="Times New Roman" w:hAnsi="Times New Roman"/>
          <w:b/>
          <w:sz w:val="28"/>
          <w:szCs w:val="28"/>
          <w:lang w:eastAsia="ru-RU"/>
        </w:rPr>
        <w:t>Внедрение результатов исследования.</w:t>
      </w:r>
    </w:p>
    <w:p w:rsidR="00C703FE" w:rsidRDefault="00C703FE" w:rsidP="007018ED">
      <w:pPr>
        <w:pStyle w:val="a4"/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9FE">
        <w:rPr>
          <w:rFonts w:ascii="Times New Roman" w:hAnsi="Times New Roman"/>
          <w:sz w:val="28"/>
          <w:szCs w:val="28"/>
          <w:lang w:eastAsia="ru-RU"/>
        </w:rPr>
        <w:t>Результаты исследования внедрены в практи</w:t>
      </w:r>
      <w:r>
        <w:rPr>
          <w:rFonts w:ascii="Times New Roman" w:hAnsi="Times New Roman"/>
          <w:sz w:val="28"/>
          <w:szCs w:val="28"/>
          <w:lang w:eastAsia="ru-RU"/>
        </w:rPr>
        <w:t>ческую деятельность ФГБУ «ЦНИИТ» РАМН</w:t>
      </w:r>
      <w:r w:rsidRPr="00A819FE">
        <w:rPr>
          <w:rFonts w:ascii="Times New Roman" w:hAnsi="Times New Roman"/>
          <w:sz w:val="28"/>
          <w:szCs w:val="28"/>
          <w:lang w:eastAsia="ru-RU"/>
        </w:rPr>
        <w:t>, а так же используются в учебном процессе последипломной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19FE">
        <w:rPr>
          <w:rFonts w:ascii="Times New Roman" w:hAnsi="Times New Roman"/>
          <w:sz w:val="28"/>
          <w:szCs w:val="28"/>
          <w:lang w:eastAsia="ru-RU"/>
        </w:rPr>
        <w:t>подготовки интернов, ординаторов и аспирантов.</w:t>
      </w:r>
    </w:p>
    <w:p w:rsidR="00C703FE" w:rsidRDefault="00C703FE" w:rsidP="007018ED">
      <w:pPr>
        <w:pStyle w:val="a4"/>
        <w:spacing w:after="0" w:line="360" w:lineRule="auto"/>
        <w:ind w:left="0" w:right="-24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03A2">
        <w:rPr>
          <w:rFonts w:ascii="Times New Roman" w:hAnsi="Times New Roman"/>
          <w:b/>
          <w:sz w:val="28"/>
          <w:szCs w:val="28"/>
          <w:lang w:eastAsia="ru-RU"/>
        </w:rPr>
        <w:t>Апробация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диссертации</w:t>
      </w:r>
      <w:r w:rsidRPr="009003A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703FE" w:rsidRDefault="00C703FE" w:rsidP="007018ED">
      <w:pPr>
        <w:pStyle w:val="a4"/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Материалы исследования представлены в 13 докладах на 20, 21,  22 Национальных конгрессах по болезням органов дыхания (Москва, 2010, 2012г., Уфа 2011), Национальных  конгрессах «Человек и лекарство» (Москва, 2010, 2011),  Европейском Респираторном Обществе (</w:t>
      </w:r>
      <w:r>
        <w:rPr>
          <w:rFonts w:ascii="Times New Roman" w:hAnsi="Times New Roman"/>
          <w:sz w:val="28"/>
          <w:szCs w:val="28"/>
          <w:lang w:val="en-US" w:eastAsia="ru-RU"/>
        </w:rPr>
        <w:t>ERS</w:t>
      </w:r>
      <w:r>
        <w:rPr>
          <w:rFonts w:ascii="Times New Roman" w:hAnsi="Times New Roman"/>
          <w:sz w:val="28"/>
          <w:szCs w:val="28"/>
          <w:lang w:eastAsia="ru-RU"/>
        </w:rPr>
        <w:t>, Вена, 2012), Заседании ученого совета ФГБУ «ЦНИИТ РАМН» (Москва, 2012), Расширенных клинических конференциях ФГБУ «ЦНИИТ РАМН» (Москва, 2010, 2011).</w:t>
      </w:r>
      <w:proofErr w:type="gramEnd"/>
      <w:r w:rsidRPr="00E239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2E5">
        <w:rPr>
          <w:rFonts w:ascii="Times New Roman" w:hAnsi="Times New Roman"/>
          <w:sz w:val="28"/>
          <w:szCs w:val="28"/>
          <w:lang w:eastAsia="ru-RU"/>
        </w:rPr>
        <w:t xml:space="preserve">Апробация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диссертации </w:t>
      </w:r>
      <w:r w:rsidRPr="00B712E5">
        <w:rPr>
          <w:rFonts w:ascii="Times New Roman" w:hAnsi="Times New Roman"/>
          <w:sz w:val="28"/>
          <w:szCs w:val="28"/>
          <w:lang w:eastAsia="ru-RU"/>
        </w:rPr>
        <w:t>проведена на совместном заседании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отдела гранулематозных болезней легких, отдела фтизиатрии, клинико-диагностического отдела, отдела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патоморфологии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биохимии и электронной микроскопии, отдела лучевой диагностики ФГБУ «Центрального научно-исследовательского института туберкулеза» РАМН.</w:t>
      </w:r>
    </w:p>
    <w:p w:rsidR="00C703FE" w:rsidRPr="00D82948" w:rsidRDefault="00C703FE" w:rsidP="00B712E5">
      <w:pPr>
        <w:pStyle w:val="a4"/>
        <w:spacing w:after="0" w:line="360" w:lineRule="auto"/>
        <w:ind w:left="0" w:right="-24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2948">
        <w:rPr>
          <w:rFonts w:ascii="Times New Roman" w:hAnsi="Times New Roman"/>
          <w:b/>
          <w:sz w:val="28"/>
          <w:szCs w:val="28"/>
          <w:lang w:eastAsia="ru-RU"/>
        </w:rPr>
        <w:t>Публикации.</w:t>
      </w:r>
    </w:p>
    <w:p w:rsidR="00C703FE" w:rsidRDefault="00C703FE" w:rsidP="00B712E5">
      <w:pPr>
        <w:pStyle w:val="a4"/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теме диссертации опубликовано 23 печатных работы (в том числе  10 – в изданиях, рекомендованных ВАК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РФ, 3 – в зарубежных изданиях), 3 работы приняты к печати (в том числе 2 – в изданиях рекомендованных ВАК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РФ).</w:t>
      </w:r>
    </w:p>
    <w:p w:rsidR="00C703FE" w:rsidRPr="00B76ED3" w:rsidRDefault="00C703FE" w:rsidP="00B712E5">
      <w:pPr>
        <w:pStyle w:val="a4"/>
        <w:spacing w:after="0" w:line="360" w:lineRule="auto"/>
        <w:ind w:left="0" w:right="-24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6ED3">
        <w:rPr>
          <w:rFonts w:ascii="Times New Roman" w:hAnsi="Times New Roman"/>
          <w:b/>
          <w:sz w:val="28"/>
          <w:szCs w:val="28"/>
          <w:lang w:eastAsia="ru-RU"/>
        </w:rPr>
        <w:t>Структура и объем диссертации.</w:t>
      </w:r>
    </w:p>
    <w:p w:rsidR="00C703FE" w:rsidRDefault="00C703FE" w:rsidP="00716643">
      <w:pPr>
        <w:pStyle w:val="a4"/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Диссертация изложена на 235 страницах по традиционному плану, включает введение, обзор литературы,  три  главы собственных исследований, заключение, выводы, практические рекомендации, список литературы из 230 источников отечественных и зарубежных авторов. Результаты исследования представлены на  63  рисунках в виде фотографий цитологических, морфологических препаратов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компьютерно-томографических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снимков, а так же на  34  таблицах.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Иллюстрированы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4 клиническими примерами. </w:t>
      </w:r>
    </w:p>
    <w:p w:rsidR="00C703FE" w:rsidRPr="00F953A2" w:rsidRDefault="00C703FE" w:rsidP="00716643">
      <w:pPr>
        <w:pStyle w:val="a4"/>
        <w:spacing w:after="0" w:line="360" w:lineRule="auto"/>
        <w:ind w:left="0" w:right="-24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3A2">
        <w:rPr>
          <w:rFonts w:ascii="Times New Roman" w:hAnsi="Times New Roman"/>
          <w:b/>
          <w:sz w:val="28"/>
          <w:szCs w:val="28"/>
          <w:lang w:eastAsia="ru-RU"/>
        </w:rPr>
        <w:t>Материалы и методы.</w:t>
      </w:r>
    </w:p>
    <w:p w:rsidR="00C703FE" w:rsidRPr="00AF3AC1" w:rsidRDefault="00C703FE" w:rsidP="000E1A0C">
      <w:pPr>
        <w:ind w:left="0"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AC1">
        <w:rPr>
          <w:rFonts w:ascii="Times New Roman" w:hAnsi="Times New Roman"/>
          <w:sz w:val="28"/>
          <w:szCs w:val="28"/>
          <w:lang w:eastAsia="ru-RU"/>
        </w:rPr>
        <w:t xml:space="preserve">Для решения поставленных задач всего обследовано 298 больных с легочными диссеминациями, находившимися на обследовании и лечении  в ФГБУ «ЦНИИТ РАМН» с 2009-2012 годы.  У всех пациентов изучался анамнез, проводилось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физикальное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обследование, обязательный диагностический </w:t>
      </w:r>
      <w:r w:rsidRPr="00AF3AC1">
        <w:rPr>
          <w:rFonts w:ascii="Times New Roman" w:hAnsi="Times New Roman"/>
          <w:sz w:val="28"/>
          <w:szCs w:val="28"/>
          <w:lang w:eastAsia="ru-RU"/>
        </w:rPr>
        <w:lastRenderedPageBreak/>
        <w:t>минимум  (ОДМ) принятый в ФГБУ «ЦНИИТ</w:t>
      </w:r>
      <w:r>
        <w:rPr>
          <w:rFonts w:ascii="Times New Roman" w:hAnsi="Times New Roman"/>
          <w:sz w:val="28"/>
          <w:szCs w:val="28"/>
          <w:lang w:eastAsia="ru-RU"/>
        </w:rPr>
        <w:t>» РАМН</w:t>
      </w:r>
      <w:r w:rsidRPr="00AF3AC1">
        <w:rPr>
          <w:rFonts w:ascii="Times New Roman" w:hAnsi="Times New Roman"/>
          <w:sz w:val="28"/>
          <w:szCs w:val="28"/>
          <w:lang w:eastAsia="ru-RU"/>
        </w:rPr>
        <w:t>, включающий в себя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клинический и биохимический анализы крови, ЭКГ, анализ мочи, газовый состав крови, функцию внешнего дыхания (ФВД), рентгенографию, компьютерную томографию органов грудной кл</w:t>
      </w:r>
      <w:r>
        <w:rPr>
          <w:rFonts w:ascii="Times New Roman" w:hAnsi="Times New Roman"/>
          <w:sz w:val="28"/>
          <w:szCs w:val="28"/>
          <w:lang w:eastAsia="ru-RU"/>
        </w:rPr>
        <w:t>етки высокого разрешения (КТВР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). В обязательном порядке проводилась бронхоскопия </w:t>
      </w:r>
      <w:proofErr w:type="gramStart"/>
      <w:r w:rsidRPr="00AF3AC1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взятием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БАЛ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чрезбронхиальной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биопсии легочной ткани</w:t>
      </w:r>
      <w:r>
        <w:rPr>
          <w:rFonts w:ascii="Times New Roman" w:hAnsi="Times New Roman"/>
          <w:sz w:val="28"/>
          <w:szCs w:val="28"/>
          <w:lang w:eastAsia="ru-RU"/>
        </w:rPr>
        <w:t xml:space="preserve"> (ЧБЛ)</w:t>
      </w:r>
      <w:r w:rsidRPr="00AF3AC1">
        <w:rPr>
          <w:rFonts w:ascii="Times New Roman" w:hAnsi="Times New Roman"/>
          <w:sz w:val="28"/>
          <w:szCs w:val="28"/>
          <w:lang w:eastAsia="ru-RU"/>
        </w:rPr>
        <w:t>, которые подвергались цитологическому и ги</w:t>
      </w:r>
      <w:r>
        <w:rPr>
          <w:rFonts w:ascii="Times New Roman" w:hAnsi="Times New Roman"/>
          <w:sz w:val="28"/>
          <w:szCs w:val="28"/>
          <w:lang w:eastAsia="ru-RU"/>
        </w:rPr>
        <w:t xml:space="preserve">стологическому исследованию. В </w:t>
      </w:r>
      <w:r w:rsidRPr="00AF3AC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случаях выполнялась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диагностическая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видеоторакотомия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легкого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В результате проведенных диагностических мероприятий из 298 больных </w:t>
      </w:r>
      <w:r>
        <w:rPr>
          <w:rFonts w:ascii="Times New Roman" w:hAnsi="Times New Roman"/>
          <w:sz w:val="28"/>
          <w:szCs w:val="28"/>
          <w:lang w:eastAsia="ru-RU"/>
        </w:rPr>
        <w:t>ЭАА диагностирован у 105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человек,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саркоидоз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у 134, туберкулез - у 32</w:t>
      </w:r>
      <w:r w:rsidRPr="00AF3AC1">
        <w:rPr>
          <w:rFonts w:ascii="Times New Roman" w:hAnsi="Times New Roman"/>
          <w:sz w:val="28"/>
          <w:szCs w:val="28"/>
          <w:lang w:eastAsia="ru-RU"/>
        </w:rPr>
        <w:t>, у 12 пациентов верифициров</w:t>
      </w:r>
      <w:r>
        <w:rPr>
          <w:rFonts w:ascii="Times New Roman" w:hAnsi="Times New Roman"/>
          <w:sz w:val="28"/>
          <w:szCs w:val="28"/>
          <w:lang w:eastAsia="ru-RU"/>
        </w:rPr>
        <w:t xml:space="preserve">аны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полисегментарные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пневмонии, </w:t>
      </w:r>
      <w:proofErr w:type="gramStart"/>
      <w:r w:rsidRPr="00AF3AC1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13 – </w:t>
      </w:r>
      <w:proofErr w:type="gramStart"/>
      <w:r w:rsidRPr="00AF3AC1">
        <w:rPr>
          <w:rFonts w:ascii="Times New Roman" w:hAnsi="Times New Roman"/>
          <w:sz w:val="28"/>
          <w:szCs w:val="28"/>
          <w:lang w:eastAsia="ru-RU"/>
        </w:rPr>
        <w:t>метастатическое</w:t>
      </w:r>
      <w:proofErr w:type="gram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поражение легких, в одном случае диагностирован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гранулематоз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Вегенера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, в одном –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инвазивный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легочный аспергиллез.</w:t>
      </w:r>
    </w:p>
    <w:p w:rsidR="00C703FE" w:rsidRDefault="00C703FE" w:rsidP="00872937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Среди обследованных 105 пациентов с ЭАА женщин - 68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человек (65,4%), мужчин – 37 человек (34,6%) в возрасте от 22 до 76 лет (средний возраст 51,2  1,3 лет). Большая часть пациентов находилась в активном периоде профессиональной деятельности.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У всех этих больных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объем диагностических методов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исследования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был расширен. </w:t>
      </w:r>
      <w:r>
        <w:rPr>
          <w:rFonts w:ascii="Times New Roman" w:hAnsi="Times New Roman"/>
          <w:sz w:val="28"/>
          <w:szCs w:val="28"/>
          <w:lang w:eastAsia="ru-RU"/>
        </w:rPr>
        <w:t xml:space="preserve"> Иммунологическое исследование включало определение в крови больных ЭАА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уровня иммуноглобулинов класса</w:t>
      </w:r>
      <w:proofErr w:type="gramStart"/>
      <w:r w:rsidRPr="00AF3AC1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AF3AC1">
        <w:rPr>
          <w:rFonts w:ascii="Times New Roman" w:hAnsi="Times New Roman"/>
          <w:sz w:val="28"/>
          <w:szCs w:val="28"/>
          <w:lang w:eastAsia="ru-RU"/>
        </w:rPr>
        <w:t>, M, G,</w:t>
      </w:r>
      <w:r w:rsidRPr="008C3C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 же уровни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преципитирующих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антител </w:t>
      </w:r>
      <w:r>
        <w:rPr>
          <w:rFonts w:ascii="Times New Roman" w:hAnsi="Times New Roman"/>
          <w:sz w:val="28"/>
          <w:szCs w:val="28"/>
          <w:lang w:eastAsia="ru-RU"/>
        </w:rPr>
        <w:t>к различным бытовым, животным и растительным аллергенам</w:t>
      </w:r>
      <w:r w:rsidRPr="008C3C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помощью реакции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преципитации по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Оухтерлони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(в модификации А.И.Гусева, В.С. Цветкова, 1968).</w:t>
      </w:r>
    </w:p>
    <w:p w:rsidR="00C703FE" w:rsidRDefault="00C703FE" w:rsidP="001749D3">
      <w:pPr>
        <w:ind w:left="0" w:right="-1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838DD">
        <w:rPr>
          <w:rFonts w:ascii="Times New Roman" w:hAnsi="Times New Roman"/>
          <w:sz w:val="28"/>
          <w:szCs w:val="28"/>
          <w:lang w:eastAsia="ru-RU"/>
        </w:rPr>
        <w:t xml:space="preserve">етодом проточной </w:t>
      </w:r>
      <w:proofErr w:type="spellStart"/>
      <w:r w:rsidRPr="005838DD">
        <w:rPr>
          <w:rFonts w:ascii="Times New Roman" w:hAnsi="Times New Roman"/>
          <w:sz w:val="28"/>
          <w:szCs w:val="28"/>
          <w:lang w:eastAsia="ru-RU"/>
        </w:rPr>
        <w:t>цитофлуориметрии</w:t>
      </w:r>
      <w:proofErr w:type="spellEnd"/>
      <w:r w:rsidRPr="005838DD">
        <w:rPr>
          <w:rFonts w:ascii="Times New Roman" w:hAnsi="Times New Roman"/>
          <w:sz w:val="28"/>
          <w:szCs w:val="28"/>
          <w:lang w:eastAsia="ru-RU"/>
        </w:rPr>
        <w:t xml:space="preserve"> проведено исследование  образцов </w:t>
      </w:r>
      <w:r>
        <w:rPr>
          <w:rFonts w:ascii="Times New Roman" w:hAnsi="Times New Roman"/>
          <w:sz w:val="28"/>
          <w:szCs w:val="28"/>
          <w:lang w:eastAsia="ru-RU"/>
        </w:rPr>
        <w:t xml:space="preserve">венозной </w:t>
      </w:r>
      <w:r w:rsidRPr="005838DD">
        <w:rPr>
          <w:rFonts w:ascii="Times New Roman" w:hAnsi="Times New Roman"/>
          <w:sz w:val="28"/>
          <w:szCs w:val="28"/>
          <w:lang w:eastAsia="ru-RU"/>
        </w:rPr>
        <w:t>крови</w:t>
      </w:r>
      <w:r>
        <w:rPr>
          <w:rFonts w:ascii="Times New Roman" w:hAnsi="Times New Roman"/>
          <w:sz w:val="28"/>
          <w:szCs w:val="28"/>
          <w:lang w:eastAsia="ru-RU"/>
        </w:rPr>
        <w:t xml:space="preserve">, где определяли </w:t>
      </w:r>
      <w:r w:rsidRPr="005838DD">
        <w:rPr>
          <w:rFonts w:ascii="Times New Roman" w:hAnsi="Times New Roman"/>
          <w:sz w:val="28"/>
          <w:szCs w:val="28"/>
          <w:lang w:eastAsia="ru-RU"/>
        </w:rPr>
        <w:t xml:space="preserve">содержание </w:t>
      </w:r>
      <w:proofErr w:type="gramStart"/>
      <w:r w:rsidRPr="005838DD">
        <w:rPr>
          <w:rFonts w:ascii="Times New Roman" w:hAnsi="Times New Roman"/>
          <w:sz w:val="28"/>
          <w:szCs w:val="28"/>
          <w:lang w:eastAsia="ru-RU"/>
        </w:rPr>
        <w:t>Т-</w:t>
      </w:r>
      <w:proofErr w:type="gramEnd"/>
      <w:r w:rsidRPr="005838DD">
        <w:rPr>
          <w:rFonts w:ascii="Times New Roman" w:hAnsi="Times New Roman"/>
          <w:sz w:val="28"/>
          <w:szCs w:val="28"/>
          <w:lang w:eastAsia="ru-RU"/>
        </w:rPr>
        <w:t xml:space="preserve">, В-лимфоцитов, </w:t>
      </w:r>
      <w:proofErr w:type="spellStart"/>
      <w:r w:rsidRPr="005838DD">
        <w:rPr>
          <w:rFonts w:ascii="Times New Roman" w:hAnsi="Times New Roman"/>
          <w:sz w:val="28"/>
          <w:szCs w:val="28"/>
          <w:lang w:eastAsia="ru-RU"/>
        </w:rPr>
        <w:t>НК-клеток</w:t>
      </w:r>
      <w:proofErr w:type="spellEnd"/>
      <w:r w:rsidRPr="005838DD">
        <w:rPr>
          <w:rFonts w:ascii="Times New Roman" w:hAnsi="Times New Roman"/>
          <w:sz w:val="28"/>
          <w:szCs w:val="28"/>
          <w:lang w:eastAsia="ru-RU"/>
        </w:rPr>
        <w:t>, Т-хелперов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38DD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5838DD">
        <w:rPr>
          <w:rFonts w:ascii="Times New Roman" w:hAnsi="Times New Roman"/>
          <w:sz w:val="28"/>
          <w:szCs w:val="28"/>
          <w:lang w:eastAsia="ru-RU"/>
        </w:rPr>
        <w:t xml:space="preserve">4), </w:t>
      </w:r>
      <w:proofErr w:type="spellStart"/>
      <w:r w:rsidRPr="005838DD">
        <w:rPr>
          <w:rFonts w:ascii="Times New Roman" w:hAnsi="Times New Roman"/>
          <w:sz w:val="28"/>
          <w:szCs w:val="28"/>
          <w:lang w:eastAsia="ru-RU"/>
        </w:rPr>
        <w:t>Т-супрессоров</w:t>
      </w:r>
      <w:proofErr w:type="spellEnd"/>
      <w:r w:rsidRPr="005838DD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5838DD">
        <w:rPr>
          <w:rFonts w:ascii="Times New Roman" w:hAnsi="Times New Roman"/>
          <w:sz w:val="28"/>
          <w:szCs w:val="28"/>
          <w:lang w:eastAsia="ru-RU"/>
        </w:rPr>
        <w:t xml:space="preserve">8), индекс </w:t>
      </w:r>
      <w:proofErr w:type="spellStart"/>
      <w:r w:rsidRPr="005838DD">
        <w:rPr>
          <w:rFonts w:ascii="Times New Roman" w:hAnsi="Times New Roman"/>
          <w:sz w:val="28"/>
          <w:szCs w:val="28"/>
          <w:lang w:eastAsia="ru-RU"/>
        </w:rPr>
        <w:t>Тх</w:t>
      </w:r>
      <w:proofErr w:type="spellEnd"/>
      <w:r w:rsidRPr="005838DD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5838DD">
        <w:rPr>
          <w:rFonts w:ascii="Times New Roman" w:hAnsi="Times New Roman"/>
          <w:sz w:val="28"/>
          <w:szCs w:val="28"/>
          <w:lang w:eastAsia="ru-RU"/>
        </w:rPr>
        <w:t>Tс</w:t>
      </w:r>
      <w:proofErr w:type="spellEnd"/>
      <w:r w:rsidRPr="005838DD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5838DD">
        <w:rPr>
          <w:rFonts w:ascii="Times New Roman" w:hAnsi="Times New Roman"/>
          <w:sz w:val="28"/>
          <w:szCs w:val="28"/>
          <w:lang w:eastAsia="ru-RU"/>
        </w:rPr>
        <w:t>4/</w:t>
      </w:r>
      <w:r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5838DD">
        <w:rPr>
          <w:rFonts w:ascii="Times New Roman" w:hAnsi="Times New Roman"/>
          <w:sz w:val="28"/>
          <w:szCs w:val="28"/>
          <w:lang w:eastAsia="ru-RU"/>
        </w:rPr>
        <w:t xml:space="preserve">8). Анализ проводили с использованием иммунологического набора </w:t>
      </w:r>
      <w:proofErr w:type="spellStart"/>
      <w:r w:rsidRPr="005838DD">
        <w:rPr>
          <w:rFonts w:ascii="Times New Roman" w:hAnsi="Times New Roman"/>
          <w:sz w:val="28"/>
          <w:szCs w:val="28"/>
          <w:lang w:eastAsia="ru-RU"/>
        </w:rPr>
        <w:t>Simultest</w:t>
      </w:r>
      <w:proofErr w:type="spellEnd"/>
      <w:r w:rsidRPr="005838D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8DD">
        <w:rPr>
          <w:rFonts w:ascii="Times New Roman" w:hAnsi="Times New Roman"/>
          <w:sz w:val="28"/>
          <w:szCs w:val="28"/>
          <w:lang w:eastAsia="ru-RU"/>
        </w:rPr>
        <w:t>IMK-Lymphocyte</w:t>
      </w:r>
      <w:proofErr w:type="spellEnd"/>
      <w:r w:rsidRPr="005838DD">
        <w:rPr>
          <w:rFonts w:ascii="Times New Roman" w:hAnsi="Times New Roman"/>
          <w:sz w:val="28"/>
          <w:szCs w:val="28"/>
          <w:lang w:eastAsia="ru-RU"/>
        </w:rPr>
        <w:t xml:space="preserve"> («</w:t>
      </w:r>
      <w:proofErr w:type="spellStart"/>
      <w:r w:rsidRPr="005838DD">
        <w:rPr>
          <w:rFonts w:ascii="Times New Roman" w:hAnsi="Times New Roman"/>
          <w:sz w:val="28"/>
          <w:szCs w:val="28"/>
          <w:lang w:eastAsia="ru-RU"/>
        </w:rPr>
        <w:t>Becton</w:t>
      </w:r>
      <w:proofErr w:type="spellEnd"/>
      <w:r w:rsidRPr="005838D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8DD">
        <w:rPr>
          <w:rFonts w:ascii="Times New Roman" w:hAnsi="Times New Roman"/>
          <w:sz w:val="28"/>
          <w:szCs w:val="28"/>
          <w:lang w:eastAsia="ru-RU"/>
        </w:rPr>
        <w:t>Dickinson</w:t>
      </w:r>
      <w:proofErr w:type="spellEnd"/>
      <w:r w:rsidRPr="005838DD">
        <w:rPr>
          <w:rFonts w:ascii="Times New Roman" w:hAnsi="Times New Roman"/>
          <w:sz w:val="28"/>
          <w:szCs w:val="28"/>
          <w:lang w:eastAsia="ru-RU"/>
        </w:rPr>
        <w:t xml:space="preserve">», США), на </w:t>
      </w:r>
      <w:proofErr w:type="gramStart"/>
      <w:r w:rsidRPr="005838DD">
        <w:rPr>
          <w:rFonts w:ascii="Times New Roman" w:hAnsi="Times New Roman"/>
          <w:sz w:val="28"/>
          <w:szCs w:val="28"/>
          <w:lang w:eastAsia="ru-RU"/>
        </w:rPr>
        <w:t>проточном</w:t>
      </w:r>
      <w:proofErr w:type="gramEnd"/>
      <w:r w:rsidRPr="005838D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8DD">
        <w:rPr>
          <w:rFonts w:ascii="Times New Roman" w:hAnsi="Times New Roman"/>
          <w:sz w:val="28"/>
          <w:szCs w:val="28"/>
          <w:lang w:eastAsia="ru-RU"/>
        </w:rPr>
        <w:t>цитометре</w:t>
      </w:r>
      <w:proofErr w:type="spellEnd"/>
      <w:r w:rsidRPr="005838D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38DD">
        <w:rPr>
          <w:rFonts w:ascii="Times New Roman" w:hAnsi="Times New Roman"/>
          <w:sz w:val="28"/>
          <w:szCs w:val="28"/>
          <w:lang w:eastAsia="ru-RU"/>
        </w:rPr>
        <w:t>FACSCalibur</w:t>
      </w:r>
      <w:proofErr w:type="spellEnd"/>
      <w:r w:rsidRPr="005838DD">
        <w:rPr>
          <w:rFonts w:ascii="Times New Roman" w:hAnsi="Times New Roman"/>
          <w:sz w:val="28"/>
          <w:szCs w:val="28"/>
          <w:lang w:eastAsia="ru-RU"/>
        </w:rPr>
        <w:t xml:space="preserve"> с программным обеспечением </w:t>
      </w:r>
      <w:proofErr w:type="spellStart"/>
      <w:r w:rsidRPr="005838DD">
        <w:rPr>
          <w:rFonts w:ascii="Times New Roman" w:hAnsi="Times New Roman"/>
          <w:sz w:val="28"/>
          <w:szCs w:val="28"/>
          <w:lang w:eastAsia="ru-RU"/>
        </w:rPr>
        <w:t>SimulSET</w:t>
      </w:r>
      <w:proofErr w:type="spellEnd"/>
      <w:r w:rsidRPr="005838DD">
        <w:rPr>
          <w:rFonts w:ascii="Times New Roman" w:hAnsi="Times New Roman"/>
          <w:sz w:val="28"/>
          <w:szCs w:val="28"/>
          <w:lang w:eastAsia="ru-RU"/>
        </w:rPr>
        <w:t>.</w:t>
      </w:r>
      <w:r w:rsidRPr="003128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703FE" w:rsidRDefault="00C703FE" w:rsidP="000E1A0C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0B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AF3AC1">
        <w:rPr>
          <w:rFonts w:ascii="Times New Roman" w:hAnsi="Times New Roman"/>
          <w:sz w:val="28"/>
          <w:szCs w:val="28"/>
          <w:lang w:eastAsia="ru-RU"/>
        </w:rPr>
        <w:t>Общая клиническая картина выражалась кумулятивным индексом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отражающим </w:t>
      </w:r>
      <w:r w:rsidRPr="00AF3AC1">
        <w:rPr>
          <w:rFonts w:ascii="Times New Roman" w:hAnsi="Times New Roman"/>
          <w:sz w:val="28"/>
          <w:szCs w:val="28"/>
          <w:lang w:eastAsia="ru-RU"/>
        </w:rPr>
        <w:t>интегральн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 цифров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индексаци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выраженности клинических симптомов: одышк</w:t>
      </w:r>
      <w:r>
        <w:rPr>
          <w:rFonts w:ascii="Times New Roman" w:hAnsi="Times New Roman"/>
          <w:sz w:val="28"/>
          <w:szCs w:val="28"/>
          <w:lang w:eastAsia="ru-RU"/>
        </w:rPr>
        <w:t>и, кашля, интоксикации, хрипов или крепитации  при аускультации, оцененную в баллах.</w:t>
      </w:r>
      <w:r w:rsidRPr="00A32F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оценки толерантности к физической нагрузке использовался </w:t>
      </w:r>
      <w:r w:rsidRPr="00AF3AC1">
        <w:rPr>
          <w:rFonts w:ascii="Times New Roman" w:hAnsi="Times New Roman"/>
          <w:sz w:val="28"/>
          <w:szCs w:val="28"/>
          <w:lang w:eastAsia="ru-RU"/>
        </w:rPr>
        <w:t>тест 6 минутной ходьбы с регистрацие</w:t>
      </w:r>
      <w:r>
        <w:rPr>
          <w:rFonts w:ascii="Times New Roman" w:hAnsi="Times New Roman"/>
          <w:sz w:val="28"/>
          <w:szCs w:val="28"/>
          <w:lang w:eastAsia="ru-RU"/>
        </w:rPr>
        <w:t>й пройденной дистанции в метрах.</w:t>
      </w:r>
    </w:p>
    <w:p w:rsidR="00C703FE" w:rsidRDefault="00C703FE" w:rsidP="000E1A0C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0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Функцию легких оценивали с помощью спирографии,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пневмотахографии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бодиплетизмографии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исследования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диффузионной способности легких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газов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артериализованной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капиллярной крови. В качестве показателей использовали жизненную емкость легких (ЖЕЛ), объем форсированного выдоха за 1 секунду (ОФВ</w:t>
      </w:r>
      <w:proofErr w:type="gramStart"/>
      <w:r w:rsidRPr="00AF3AC1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AF3AC1">
        <w:rPr>
          <w:rFonts w:ascii="Times New Roman" w:hAnsi="Times New Roman"/>
          <w:sz w:val="28"/>
          <w:szCs w:val="28"/>
          <w:lang w:eastAsia="ru-RU"/>
        </w:rPr>
        <w:t>), максимальные скорости форсированного выдоха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выдохе 25, 50 и 75% (М</w:t>
      </w:r>
      <w:r w:rsidRPr="00AF3AC1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В 25, МСВ50 и МСВ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75), газов крови – напряжение кислорода в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артериализованной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капиллярной кров</w:t>
      </w:r>
      <w:r>
        <w:rPr>
          <w:rFonts w:ascii="Times New Roman" w:hAnsi="Times New Roman"/>
          <w:sz w:val="28"/>
          <w:szCs w:val="28"/>
          <w:lang w:eastAsia="ru-RU"/>
        </w:rPr>
        <w:t>и (РаО2</w:t>
      </w:r>
      <w:r w:rsidRPr="00AF3AC1">
        <w:rPr>
          <w:rFonts w:ascii="Times New Roman" w:hAnsi="Times New Roman"/>
          <w:sz w:val="28"/>
          <w:szCs w:val="28"/>
          <w:lang w:eastAsia="ru-RU"/>
        </w:rPr>
        <w:t>), диффузионную способность легких для окиси углерода методом единичного вдоха (DLCO-SB), коэффициент диффузии (DLCO/VA).</w:t>
      </w:r>
      <w:r w:rsidRPr="001660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Границей нормальных значений </w:t>
      </w:r>
      <w:r>
        <w:rPr>
          <w:rFonts w:ascii="Times New Roman" w:hAnsi="Times New Roman"/>
          <w:sz w:val="28"/>
          <w:szCs w:val="28"/>
          <w:lang w:eastAsia="ru-RU"/>
        </w:rPr>
        <w:t>считали 80% должной величины.</w:t>
      </w:r>
    </w:p>
    <w:p w:rsidR="00C703FE" w:rsidRDefault="00C703FE" w:rsidP="000E1A0C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0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омпьютерную томографию </w:t>
      </w:r>
      <w:r>
        <w:rPr>
          <w:rFonts w:ascii="Times New Roman" w:hAnsi="Times New Roman"/>
          <w:sz w:val="28"/>
          <w:szCs w:val="28"/>
          <w:lang w:eastAsia="ru-RU"/>
        </w:rPr>
        <w:t>(КТВР) выполняли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в условиях высокого разрешения на 16 рядном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мультисрезовом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компьютерном томографе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Siemens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Somatom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Emotion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в положении больного лежа на спине, на высоте глубокого задержанного вдоха.</w:t>
      </w:r>
      <w:r w:rsidRPr="001660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При анализе полученных данных и количественной их оценки использовали шкалу в модификации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Kazerooni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et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al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(1998)</w:t>
      </w:r>
      <w:r w:rsidRPr="00AF3AC1">
        <w:rPr>
          <w:rFonts w:ascii="Times New Roman" w:hAnsi="Times New Roman"/>
          <w:sz w:val="28"/>
          <w:szCs w:val="28"/>
          <w:lang w:eastAsia="ru-RU"/>
        </w:rPr>
        <w:t>. Учитывался альвеолярный компонент по занимаемой площади симптома «матового стекла</w:t>
      </w:r>
      <w:proofErr w:type="gramStart"/>
      <w:r w:rsidRPr="00AF3AC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диссеминации, а так же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распространенность  интерстициального компонента по признаку «сотового легкого» и утолщению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межлобулярных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септ. </w:t>
      </w:r>
      <w:proofErr w:type="gramStart"/>
      <w:r w:rsidRPr="00AF3AC1">
        <w:rPr>
          <w:rFonts w:ascii="Times New Roman" w:hAnsi="Times New Roman"/>
          <w:sz w:val="28"/>
          <w:szCs w:val="28"/>
          <w:lang w:eastAsia="ru-RU"/>
        </w:rPr>
        <w:t>Оба из указанных компонента определялись по 5 бальной шкале.</w:t>
      </w:r>
      <w:proofErr w:type="gramEnd"/>
    </w:p>
    <w:p w:rsidR="00C703FE" w:rsidRDefault="00C703FE" w:rsidP="000E1A0C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0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AC1">
        <w:rPr>
          <w:rFonts w:ascii="Times New Roman" w:hAnsi="Times New Roman"/>
          <w:sz w:val="28"/>
          <w:szCs w:val="28"/>
          <w:lang w:eastAsia="ru-RU"/>
        </w:rPr>
        <w:t>После визуальной оценки состояния слизистой оболочки бронхов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получали ЧБЛ, которую использовали для традиционного гистологического изучения легочной ткани.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Во время бронхоскопии проводили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диагностический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БАЛ, который  затем подвергался цитологическому,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цитофлюориметрическому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электронномикроскопическому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исследованию.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Эндопульмональную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цитограмму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определяли на основании подсчета не менее 500 клеток с использованием иммерсионного объектива. При этом учитывали: </w:t>
      </w:r>
      <w:proofErr w:type="gramStart"/>
      <w:r w:rsidRPr="00AF3AC1">
        <w:rPr>
          <w:rFonts w:ascii="Times New Roman" w:hAnsi="Times New Roman"/>
          <w:sz w:val="28"/>
          <w:szCs w:val="28"/>
          <w:lang w:eastAsia="ru-RU"/>
        </w:rPr>
        <w:t xml:space="preserve">АМ (альвеолярные макрофаги), Л (лейкоциты),  Э (эозинофилы), </w:t>
      </w:r>
      <w:r>
        <w:rPr>
          <w:rFonts w:ascii="Times New Roman" w:hAnsi="Times New Roman"/>
          <w:sz w:val="28"/>
          <w:szCs w:val="28"/>
          <w:lang w:eastAsia="ru-RU"/>
        </w:rPr>
        <w:t>Т (тучные клетки)</w:t>
      </w:r>
      <w:r w:rsidRPr="00AF3AC1">
        <w:rPr>
          <w:rFonts w:ascii="Times New Roman" w:hAnsi="Times New Roman"/>
          <w:sz w:val="28"/>
          <w:szCs w:val="28"/>
          <w:lang w:eastAsia="ru-RU"/>
        </w:rPr>
        <w:t>, Н (нейтрофилы).</w:t>
      </w:r>
      <w:proofErr w:type="gramEnd"/>
      <w:r w:rsidRPr="001660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AC1">
        <w:rPr>
          <w:rFonts w:ascii="Times New Roman" w:hAnsi="Times New Roman"/>
          <w:sz w:val="28"/>
          <w:szCs w:val="28"/>
          <w:lang w:eastAsia="ru-RU"/>
        </w:rPr>
        <w:t>В этом же материале определяли макрофагальную формулу (МФ) БАЛ, для чего подсчитывали</w:t>
      </w:r>
      <w:r>
        <w:rPr>
          <w:rFonts w:ascii="Times New Roman" w:hAnsi="Times New Roman"/>
          <w:sz w:val="28"/>
          <w:szCs w:val="28"/>
          <w:lang w:eastAsia="ru-RU"/>
        </w:rPr>
        <w:t xml:space="preserve"> 200 макрофагов и определяли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относительное процентное содержание молодых и зрелых </w:t>
      </w:r>
      <w:r>
        <w:rPr>
          <w:rFonts w:ascii="Times New Roman" w:hAnsi="Times New Roman"/>
          <w:sz w:val="28"/>
          <w:szCs w:val="28"/>
          <w:lang w:eastAsia="ru-RU"/>
        </w:rPr>
        <w:t xml:space="preserve">клеток </w:t>
      </w:r>
      <w:r w:rsidRPr="00AF3AC1">
        <w:rPr>
          <w:rFonts w:ascii="Times New Roman" w:hAnsi="Times New Roman"/>
          <w:sz w:val="28"/>
          <w:szCs w:val="28"/>
          <w:lang w:eastAsia="ru-RU"/>
        </w:rPr>
        <w:t>с разным фенотипом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Лепеха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Л.Н., 1995; 2000; Николаева Г.М., 2004). Для определения значений нормальных показателей использовали материал от 8 здоровых добровольцев.  Ультраструктурные особенности АМ и других клеточных элементов БАЛ изучены с помощью трансмиссионной электронной микроскопии (ТЭМ), для чего клеточный осадок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лаважа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подготавливали известными методами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Лепеха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Л.Н., 1995). Ультратонкие срезы просматривали в электронном микроскопе (увел.100В).</w:t>
      </w:r>
      <w:r w:rsidRPr="001660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оличественный анализ </w:t>
      </w:r>
      <w:r>
        <w:rPr>
          <w:rFonts w:ascii="Times New Roman" w:hAnsi="Times New Roman"/>
          <w:sz w:val="28"/>
          <w:szCs w:val="28"/>
          <w:lang w:eastAsia="ru-RU"/>
        </w:rPr>
        <w:t xml:space="preserve">лимфоидных  элементов БАЛ проводили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AF3AC1">
        <w:rPr>
          <w:rFonts w:ascii="Times New Roman" w:hAnsi="Times New Roman"/>
          <w:sz w:val="28"/>
          <w:szCs w:val="28"/>
          <w:lang w:eastAsia="ru-RU"/>
        </w:rPr>
        <w:t>проточном</w:t>
      </w:r>
      <w:proofErr w:type="gram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цитометре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FACSCaliber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с программным обеспечением 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Cell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Qwest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с использованием прижизненной иммунологической окраски клеток антителами и флуоресцентными красителями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3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по следующим параметрам: количество жизнеспособных и гибнущих клеток, уровень некроза и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апоптоза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а так же индекс CD4/CD8</w:t>
      </w:r>
      <w:r w:rsidRPr="00AF3AC1">
        <w:rPr>
          <w:rFonts w:ascii="Times New Roman" w:hAnsi="Times New Roman"/>
          <w:sz w:val="28"/>
          <w:szCs w:val="28"/>
          <w:lang w:eastAsia="ru-RU"/>
        </w:rPr>
        <w:t>.</w:t>
      </w:r>
    </w:p>
    <w:p w:rsidR="00C703FE" w:rsidRDefault="00C703FE" w:rsidP="00872937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Для выявления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Candida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albicans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Aspergillus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fumigatus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в материале БАЛ в рамках исследования был использован современный молекулярно-генетический подход. Для исследований выбраны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видоспецифичные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ПЦР </w:t>
      </w:r>
      <w:proofErr w:type="gramStart"/>
      <w:r w:rsidRPr="00AF3AC1">
        <w:rPr>
          <w:rFonts w:ascii="Times New Roman" w:hAnsi="Times New Roman"/>
          <w:sz w:val="28"/>
          <w:szCs w:val="28"/>
          <w:lang w:eastAsia="ru-RU"/>
        </w:rPr>
        <w:t>тест-системы</w:t>
      </w:r>
      <w:proofErr w:type="gram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разр</w:t>
      </w:r>
      <w:r>
        <w:rPr>
          <w:rFonts w:ascii="Times New Roman" w:hAnsi="Times New Roman"/>
          <w:sz w:val="28"/>
          <w:szCs w:val="28"/>
          <w:lang w:eastAsia="ru-RU"/>
        </w:rPr>
        <w:t>ешенные МЗСР РФ для диагностики.</w:t>
      </w:r>
    </w:p>
    <w:p w:rsidR="00C703FE" w:rsidRDefault="00C703FE" w:rsidP="00872937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AC1">
        <w:rPr>
          <w:rFonts w:ascii="Times New Roman" w:hAnsi="Times New Roman"/>
          <w:sz w:val="28"/>
          <w:szCs w:val="28"/>
          <w:lang w:eastAsia="ru-RU"/>
        </w:rPr>
        <w:t xml:space="preserve">Амплификацию образцов ДНК проводили в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термоциклере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Real-time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IQ5 (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BioRad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) для тест-системы с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праймерами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и зондами для ПЦР в режиме реального времени для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Candida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albicans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, и в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амплификаторе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Терцик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(ДНК-технология) для ПЦР тест-системы с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детекцией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методом электрофореза </w:t>
      </w:r>
      <w:proofErr w:type="gramStart"/>
      <w:r w:rsidRPr="00AF3AC1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Aspergillus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fumigatus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>.</w:t>
      </w:r>
    </w:p>
    <w:p w:rsidR="00C703FE" w:rsidRDefault="00C703FE" w:rsidP="00872937">
      <w:pPr>
        <w:ind w:left="0" w:right="-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5CC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Полученные данные статистически обработаны 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помощи </w:t>
      </w:r>
      <w:r w:rsidRPr="001D5CC6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Statistica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использованием непараметрических методов.</w:t>
      </w:r>
      <w:r w:rsidRPr="001D5CC6">
        <w:rPr>
          <w:rFonts w:ascii="Times New Roman" w:hAnsi="Times New Roman"/>
          <w:sz w:val="28"/>
          <w:szCs w:val="28"/>
          <w:lang w:eastAsia="ru-RU"/>
        </w:rPr>
        <w:t xml:space="preserve"> Достоверность различий оценивали с помощью критерия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Вилкоксона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Группы пациентов менее 10 человек не подвергались процентному исчислению согласно правилам медицинской статистики.</w:t>
      </w:r>
    </w:p>
    <w:p w:rsidR="00C703FE" w:rsidRPr="00AE48F7" w:rsidRDefault="00C703FE" w:rsidP="000E1A0C">
      <w:pPr>
        <w:ind w:left="0" w:right="-1" w:firstLine="567"/>
        <w:rPr>
          <w:rFonts w:ascii="Times New Roman" w:hAnsi="Times New Roman"/>
          <w:b/>
          <w:sz w:val="32"/>
          <w:szCs w:val="32"/>
          <w:lang w:eastAsia="ru-RU"/>
        </w:rPr>
      </w:pPr>
      <w:r w:rsidRPr="00AE48F7">
        <w:rPr>
          <w:rFonts w:ascii="Times New Roman" w:hAnsi="Times New Roman"/>
          <w:b/>
          <w:sz w:val="32"/>
          <w:szCs w:val="32"/>
          <w:lang w:eastAsia="ru-RU"/>
        </w:rPr>
        <w:t>Результаты исследования.</w:t>
      </w:r>
    </w:p>
    <w:p w:rsidR="00C703FE" w:rsidRDefault="00C703FE" w:rsidP="000E1A0C">
      <w:pPr>
        <w:ind w:left="0" w:right="-24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0E1A0C">
        <w:rPr>
          <w:rFonts w:ascii="Times New Roman" w:hAnsi="Times New Roman"/>
          <w:b/>
          <w:sz w:val="28"/>
          <w:szCs w:val="28"/>
          <w:lang w:eastAsia="ru-RU"/>
        </w:rPr>
        <w:t>Диагностика различных вариантов ЭАА.</w:t>
      </w:r>
    </w:p>
    <w:p w:rsidR="00C703FE" w:rsidRDefault="00C703FE" w:rsidP="00FC0D08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8D2">
        <w:rPr>
          <w:rFonts w:ascii="Times New Roman" w:hAnsi="Times New Roman"/>
          <w:b/>
          <w:sz w:val="28"/>
          <w:szCs w:val="28"/>
          <w:lang w:eastAsia="ru-RU"/>
        </w:rPr>
        <w:t xml:space="preserve">Острый вариант </w:t>
      </w:r>
      <w:r>
        <w:rPr>
          <w:rFonts w:ascii="Times New Roman" w:hAnsi="Times New Roman"/>
          <w:sz w:val="28"/>
          <w:szCs w:val="28"/>
          <w:lang w:eastAsia="ru-RU"/>
        </w:rPr>
        <w:t>выявлен у 30 (28,6 %) больных ЭАА,</w:t>
      </w:r>
      <w:r w:rsidRPr="00965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15 мужчин и </w:t>
      </w:r>
      <w:r>
        <w:rPr>
          <w:rFonts w:ascii="Times New Roman" w:hAnsi="Times New Roman"/>
          <w:sz w:val="28"/>
          <w:szCs w:val="28"/>
          <w:lang w:eastAsia="ru-RU"/>
        </w:rPr>
        <w:t>15 женщин, в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возрасте от 23 до 73 лет (средний  45,5 ± 2,4).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Большая часть пациентов – 39,6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имела конта</w:t>
      </w:r>
      <w:proofErr w:type="gramStart"/>
      <w:r w:rsidRPr="00AF3AC1">
        <w:rPr>
          <w:rFonts w:ascii="Times New Roman" w:hAnsi="Times New Roman"/>
          <w:sz w:val="28"/>
          <w:szCs w:val="28"/>
          <w:lang w:eastAsia="ru-RU"/>
        </w:rPr>
        <w:t>кт с пл</w:t>
      </w:r>
      <w:proofErr w:type="gram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есневыми грибами,  </w:t>
      </w:r>
      <w:r>
        <w:rPr>
          <w:rFonts w:ascii="Times New Roman" w:hAnsi="Times New Roman"/>
          <w:sz w:val="28"/>
          <w:szCs w:val="28"/>
          <w:lang w:eastAsia="ru-RU"/>
        </w:rPr>
        <w:t>примечательно, что почти у всех этих пациентов была выявлена ДНК указанных грибов</w:t>
      </w:r>
      <w:r w:rsidRPr="00425BB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методом ПЦР в БАЛ.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клиническому течению данный </w:t>
      </w:r>
      <w:r w:rsidRPr="00AF3AC1">
        <w:rPr>
          <w:rFonts w:ascii="Times New Roman" w:hAnsi="Times New Roman"/>
          <w:sz w:val="28"/>
          <w:szCs w:val="28"/>
          <w:lang w:eastAsia="ru-RU"/>
        </w:rPr>
        <w:t>вариант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ЭАА </w:t>
      </w:r>
      <w:r>
        <w:rPr>
          <w:rFonts w:ascii="Times New Roman" w:hAnsi="Times New Roman"/>
          <w:sz w:val="28"/>
          <w:szCs w:val="28"/>
          <w:lang w:eastAsia="ru-RU"/>
        </w:rPr>
        <w:t xml:space="preserve">напоминал ОРВИ или пневмонию с </w:t>
      </w:r>
      <w:r w:rsidRPr="00AF3AC1">
        <w:rPr>
          <w:rFonts w:ascii="Times New Roman" w:hAnsi="Times New Roman"/>
          <w:sz w:val="28"/>
          <w:szCs w:val="28"/>
          <w:lang w:eastAsia="ru-RU"/>
        </w:rPr>
        <w:t>преобладанием симптомов интоксикации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развива</w:t>
      </w:r>
      <w:r>
        <w:rPr>
          <w:rFonts w:ascii="Times New Roman" w:hAnsi="Times New Roman"/>
          <w:sz w:val="28"/>
          <w:szCs w:val="28"/>
          <w:lang w:eastAsia="ru-RU"/>
        </w:rPr>
        <w:t xml:space="preserve">лся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быстро от нескольких суток до 1 месяца, и</w:t>
      </w:r>
      <w:r>
        <w:rPr>
          <w:rFonts w:ascii="Times New Roman" w:hAnsi="Times New Roman"/>
          <w:sz w:val="28"/>
          <w:szCs w:val="28"/>
          <w:lang w:eastAsia="ru-RU"/>
        </w:rPr>
        <w:t>мел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бурное начало с высокой температурой тела</w:t>
      </w:r>
      <w:r>
        <w:rPr>
          <w:rFonts w:ascii="Times New Roman" w:hAnsi="Times New Roman"/>
          <w:sz w:val="28"/>
          <w:szCs w:val="28"/>
          <w:lang w:eastAsia="ru-RU"/>
        </w:rPr>
        <w:t xml:space="preserve"> и сухим приступообразным кашлем (у 60% больных).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Одышка </w:t>
      </w:r>
      <w:r>
        <w:rPr>
          <w:rFonts w:ascii="Times New Roman" w:hAnsi="Times New Roman"/>
          <w:sz w:val="28"/>
          <w:szCs w:val="28"/>
          <w:lang w:eastAsia="ru-RU"/>
        </w:rPr>
        <w:t>выражена слабо (не выше 1 степени)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отмечена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F3AC1">
        <w:rPr>
          <w:rFonts w:ascii="Times New Roman" w:hAnsi="Times New Roman"/>
          <w:sz w:val="28"/>
          <w:szCs w:val="28"/>
          <w:lang w:eastAsia="ru-RU"/>
        </w:rPr>
        <w:t>46,6% случаев</w:t>
      </w:r>
      <w:r>
        <w:rPr>
          <w:rFonts w:ascii="Times New Roman" w:hAnsi="Times New Roman"/>
          <w:sz w:val="28"/>
          <w:szCs w:val="28"/>
          <w:lang w:eastAsia="ru-RU"/>
        </w:rPr>
        <w:t>. У преобладающего большинства больных определяли  нарушения</w:t>
      </w:r>
      <w:r w:rsidRPr="001D083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газообменной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функции легких</w:t>
      </w:r>
      <w:r>
        <w:rPr>
          <w:rFonts w:ascii="Times New Roman" w:hAnsi="Times New Roman"/>
          <w:sz w:val="28"/>
          <w:szCs w:val="28"/>
          <w:lang w:eastAsia="ru-RU"/>
        </w:rPr>
        <w:t xml:space="preserve"> (в виде снижения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РaО2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AF3AC1">
        <w:rPr>
          <w:rFonts w:ascii="Times New Roman" w:hAnsi="Times New Roman"/>
          <w:sz w:val="28"/>
          <w:szCs w:val="28"/>
          <w:lang w:eastAsia="ru-RU"/>
        </w:rPr>
        <w:t>DLCO</w:t>
      </w:r>
      <w:r>
        <w:rPr>
          <w:rFonts w:ascii="Times New Roman" w:hAnsi="Times New Roman"/>
          <w:sz w:val="28"/>
          <w:szCs w:val="28"/>
          <w:lang w:eastAsia="ru-RU"/>
        </w:rPr>
        <w:t xml:space="preserve">) и </w:t>
      </w:r>
      <w:r w:rsidRPr="00C51C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AC1">
        <w:rPr>
          <w:rFonts w:ascii="Times New Roman" w:hAnsi="Times New Roman"/>
          <w:sz w:val="28"/>
          <w:szCs w:val="28"/>
          <w:lang w:eastAsia="ru-RU"/>
        </w:rPr>
        <w:t>нарушения бронхиальной проходимости</w:t>
      </w:r>
      <w:r>
        <w:rPr>
          <w:rFonts w:ascii="Times New Roman" w:hAnsi="Times New Roman"/>
          <w:sz w:val="28"/>
          <w:szCs w:val="28"/>
          <w:lang w:eastAsia="ru-RU"/>
        </w:rPr>
        <w:t>. Однако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их выраженность оставалась небольшой (не ниже 60% д.в.).</w:t>
      </w:r>
    </w:p>
    <w:p w:rsidR="00C703FE" w:rsidRDefault="00C703FE" w:rsidP="00FC0D08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56% пациентов отмечено  увеличение в крови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IgG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а </w:t>
      </w:r>
      <w:r w:rsidRPr="008858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IgM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 всех больных с острым вариантом ЭАА. Высокий (1:8 и выше) или средний (1:4) уровень сенсибилизации при определении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преципитирующих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антител зарегистрирован у 80% больных, что отмечалось только при этом варианте ЭАА,  особенно к грибам рода </w:t>
      </w:r>
      <w:r>
        <w:rPr>
          <w:rFonts w:ascii="Times New Roman" w:hAnsi="Times New Roman"/>
          <w:sz w:val="28"/>
          <w:szCs w:val="28"/>
          <w:lang w:val="en-US" w:eastAsia="ru-RU"/>
        </w:rPr>
        <w:t>Candida</w:t>
      </w:r>
      <w:r w:rsidRPr="00F762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и/или </w:t>
      </w:r>
      <w:r w:rsidRPr="00F762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Aspergillus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В периферической крови у 40% больных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выявлена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умеренная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эозинофилия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У всех больных достоверно  было повышено соотношение </w:t>
      </w:r>
      <w:r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8D72E1">
        <w:rPr>
          <w:rFonts w:ascii="Times New Roman" w:hAnsi="Times New Roman"/>
          <w:sz w:val="28"/>
          <w:szCs w:val="28"/>
          <w:lang w:eastAsia="ru-RU"/>
        </w:rPr>
        <w:t>4/</w:t>
      </w:r>
      <w:r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8D72E1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(рис.1) и содержание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НК-клеток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(рис.2)</w:t>
      </w:r>
    </w:p>
    <w:p w:rsidR="00C703FE" w:rsidRPr="00854815" w:rsidRDefault="00C703FE" w:rsidP="00854815">
      <w:pPr>
        <w:ind w:left="0" w:right="-1" w:firstLine="0"/>
        <w:jc w:val="both"/>
        <w:rPr>
          <w:rFonts w:ascii="Arial Narrow" w:hAnsi="Arial Narrow"/>
          <w:sz w:val="24"/>
          <w:szCs w:val="28"/>
          <w:lang w:eastAsia="ru-RU"/>
        </w:rPr>
      </w:pPr>
      <w:r w:rsidRPr="00104986">
        <w:rPr>
          <w:rFonts w:ascii="Arial Narrow" w:hAnsi="Arial Narrow"/>
          <w:b/>
          <w:sz w:val="24"/>
          <w:szCs w:val="28"/>
          <w:lang w:eastAsia="ru-RU"/>
        </w:rPr>
        <w:lastRenderedPageBreak/>
        <w:t>Рисунок 1.</w:t>
      </w:r>
      <w:r w:rsidRPr="00854815">
        <w:rPr>
          <w:rFonts w:ascii="Arial Narrow" w:hAnsi="Arial Narrow"/>
          <w:sz w:val="24"/>
          <w:szCs w:val="28"/>
          <w:lang w:eastAsia="ru-RU"/>
        </w:rPr>
        <w:t xml:space="preserve"> Сравнительная оценка величины индекса </w:t>
      </w:r>
      <w:r w:rsidRPr="00854815">
        <w:rPr>
          <w:rFonts w:ascii="Arial Narrow" w:hAnsi="Arial Narrow"/>
          <w:sz w:val="24"/>
          <w:szCs w:val="28"/>
          <w:lang w:val="en-US" w:eastAsia="ru-RU"/>
        </w:rPr>
        <w:t>CD</w:t>
      </w:r>
      <w:r w:rsidRPr="00854815">
        <w:rPr>
          <w:rFonts w:ascii="Arial Narrow" w:hAnsi="Arial Narrow"/>
          <w:sz w:val="24"/>
          <w:szCs w:val="28"/>
          <w:lang w:eastAsia="ru-RU"/>
        </w:rPr>
        <w:t>4/</w:t>
      </w:r>
      <w:r w:rsidRPr="00854815">
        <w:rPr>
          <w:rFonts w:ascii="Arial Narrow" w:hAnsi="Arial Narrow"/>
          <w:sz w:val="24"/>
          <w:szCs w:val="28"/>
          <w:lang w:val="en-US" w:eastAsia="ru-RU"/>
        </w:rPr>
        <w:t>CD</w:t>
      </w:r>
      <w:r w:rsidRPr="00854815">
        <w:rPr>
          <w:rFonts w:ascii="Arial Narrow" w:hAnsi="Arial Narrow"/>
          <w:sz w:val="24"/>
          <w:szCs w:val="28"/>
          <w:lang w:eastAsia="ru-RU"/>
        </w:rPr>
        <w:t>8  в крови больных с разными вариантами ЭАА.</w:t>
      </w:r>
    </w:p>
    <w:p w:rsidR="00C703FE" w:rsidRDefault="00C703FE" w:rsidP="00854815">
      <w:pPr>
        <w:ind w:left="0" w:right="-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FBE">
        <w:rPr>
          <w:rFonts w:ascii="Times New Roman" w:hAnsi="Times New Roman"/>
          <w:noProof/>
          <w:sz w:val="28"/>
          <w:szCs w:val="28"/>
          <w:lang w:eastAsia="ru-RU"/>
        </w:rPr>
        <w:object w:dxaOrig="9514" w:dyaOrig="3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3" o:spid="_x0000_i1025" type="#_x0000_t75" style="width:475.95pt;height:184.2pt;visibility:visible" o:ole="">
            <v:imagedata r:id="rId7" o:title=""/>
            <o:lock v:ext="edit" aspectratio="f"/>
          </v:shape>
          <o:OLEObject Type="Embed" ProgID="Excel.Sheet.8" ShapeID="Объект 3" DrawAspect="Content" ObjectID="_1426671857" r:id="rId8"/>
        </w:object>
      </w:r>
    </w:p>
    <w:p w:rsidR="00C703FE" w:rsidRPr="00104986" w:rsidRDefault="00C703FE" w:rsidP="00104986">
      <w:pPr>
        <w:ind w:left="0" w:right="-1" w:firstLine="0"/>
        <w:jc w:val="both"/>
        <w:rPr>
          <w:rFonts w:ascii="Arial Narrow" w:hAnsi="Arial Narrow"/>
          <w:sz w:val="24"/>
          <w:szCs w:val="28"/>
          <w:lang w:eastAsia="ru-RU"/>
        </w:rPr>
      </w:pPr>
      <w:r w:rsidRPr="00104986">
        <w:rPr>
          <w:rFonts w:ascii="Arial Narrow" w:hAnsi="Arial Narrow"/>
          <w:b/>
          <w:sz w:val="24"/>
          <w:szCs w:val="28"/>
          <w:lang w:eastAsia="ru-RU"/>
        </w:rPr>
        <w:t>Рисунок 2.</w:t>
      </w:r>
      <w:r w:rsidRPr="00104986">
        <w:rPr>
          <w:rFonts w:ascii="Arial Narrow" w:hAnsi="Arial Narrow"/>
          <w:sz w:val="24"/>
          <w:szCs w:val="28"/>
          <w:lang w:eastAsia="ru-RU"/>
        </w:rPr>
        <w:t xml:space="preserve"> Среднее содержание </w:t>
      </w:r>
      <w:proofErr w:type="spellStart"/>
      <w:r w:rsidRPr="00104986">
        <w:rPr>
          <w:rFonts w:ascii="Arial Narrow" w:hAnsi="Arial Narrow"/>
          <w:sz w:val="24"/>
          <w:szCs w:val="28"/>
          <w:lang w:eastAsia="ru-RU"/>
        </w:rPr>
        <w:t>НК-клеток</w:t>
      </w:r>
      <w:proofErr w:type="spellEnd"/>
      <w:r w:rsidRPr="00104986">
        <w:rPr>
          <w:rFonts w:ascii="Arial Narrow" w:hAnsi="Arial Narrow"/>
          <w:sz w:val="24"/>
          <w:szCs w:val="28"/>
          <w:lang w:eastAsia="ru-RU"/>
        </w:rPr>
        <w:t xml:space="preserve"> в крови больных с разными вариантами ЭАА (% от общего числа лимфоцитов).</w:t>
      </w:r>
    </w:p>
    <w:p w:rsidR="00C703FE" w:rsidRPr="0018401C" w:rsidRDefault="00C703FE" w:rsidP="009F3E90">
      <w:pPr>
        <w:ind w:left="0" w:right="-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FBE">
        <w:rPr>
          <w:rFonts w:ascii="Times New Roman" w:hAnsi="Times New Roman"/>
          <w:noProof/>
          <w:sz w:val="28"/>
          <w:szCs w:val="28"/>
          <w:lang w:eastAsia="ru-RU"/>
        </w:rPr>
        <w:object w:dxaOrig="8670" w:dyaOrig="3610">
          <v:shape id="Объект 5" o:spid="_x0000_i1026" type="#_x0000_t75" style="width:468.45pt;height:180.45pt;visibility:visible" o:ole="">
            <v:imagedata r:id="rId9" o:title="" cropbottom="-18f"/>
            <o:lock v:ext="edit" aspectratio="f"/>
          </v:shape>
          <o:OLEObject Type="Embed" ProgID="Excel.Sheet.8" ShapeID="Объект 5" DrawAspect="Content" ObjectID="_1426671858" r:id="rId10"/>
        </w:object>
      </w:r>
    </w:p>
    <w:p w:rsidR="00C703FE" w:rsidRDefault="00C703FE" w:rsidP="00C66A52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анализе КТВР картины больных с острым ЭАА, изменения в легких определены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в 100% случаев </w:t>
      </w:r>
      <w:r>
        <w:rPr>
          <w:rFonts w:ascii="Times New Roman" w:hAnsi="Times New Roman"/>
          <w:sz w:val="28"/>
          <w:szCs w:val="28"/>
          <w:lang w:eastAsia="ru-RU"/>
        </w:rPr>
        <w:t>и представляли собой хорошо известный в литературе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симптом «матового стек</w:t>
      </w:r>
      <w:r>
        <w:rPr>
          <w:rFonts w:ascii="Times New Roman" w:hAnsi="Times New Roman"/>
          <w:sz w:val="28"/>
          <w:szCs w:val="28"/>
          <w:lang w:eastAsia="ru-RU"/>
        </w:rPr>
        <w:t>ла» (Прокоп М., 2009; Тюрин И.С., 2008 и др.)</w:t>
      </w:r>
      <w:r w:rsidRPr="00AF3AC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нашим данным, кроме того, </w:t>
      </w:r>
      <w:r w:rsidRPr="00AF3AC1">
        <w:rPr>
          <w:rFonts w:ascii="Times New Roman" w:hAnsi="Times New Roman"/>
          <w:sz w:val="28"/>
          <w:szCs w:val="28"/>
          <w:lang w:eastAsia="ru-RU"/>
        </w:rPr>
        <w:t>у 30%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больных наблюдались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локальные утолщения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междольковых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перегородок в пре</w:t>
      </w:r>
      <w:r>
        <w:rPr>
          <w:rFonts w:ascii="Times New Roman" w:hAnsi="Times New Roman"/>
          <w:sz w:val="28"/>
          <w:szCs w:val="28"/>
          <w:lang w:eastAsia="ru-RU"/>
        </w:rPr>
        <w:t xml:space="preserve">делах одной доли. Изменения, выявленные на КТ,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коррелировали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данными гистологического исследования легочной ткани.</w:t>
      </w:r>
      <w:r w:rsidRPr="00E96F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Утолщение</w:t>
      </w:r>
      <w:r w:rsidRPr="001A42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межальвеолярных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перегородок</w:t>
      </w:r>
      <w:r w:rsidRPr="001A4235">
        <w:rPr>
          <w:rFonts w:ascii="Times New Roman" w:hAnsi="Times New Roman"/>
          <w:sz w:val="28"/>
          <w:szCs w:val="28"/>
          <w:lang w:eastAsia="ru-RU"/>
        </w:rPr>
        <w:t xml:space="preserve"> большей части легочной паренхимы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</w:t>
      </w:r>
      <w:r w:rsidRPr="001A4235">
        <w:rPr>
          <w:rFonts w:ascii="Times New Roman" w:hAnsi="Times New Roman"/>
          <w:sz w:val="28"/>
          <w:szCs w:val="28"/>
          <w:lang w:eastAsia="ru-RU"/>
        </w:rPr>
        <w:t xml:space="preserve"> за счет полнокровия капиллярной сети, интерстициального отека и обильной инфильтрации </w:t>
      </w:r>
      <w:proofErr w:type="spellStart"/>
      <w:r w:rsidRPr="001A4235">
        <w:rPr>
          <w:rFonts w:ascii="Times New Roman" w:hAnsi="Times New Roman"/>
          <w:sz w:val="28"/>
          <w:szCs w:val="28"/>
          <w:lang w:eastAsia="ru-RU"/>
        </w:rPr>
        <w:lastRenderedPageBreak/>
        <w:t>мононуклеарами</w:t>
      </w:r>
      <w:proofErr w:type="spellEnd"/>
      <w:r w:rsidRPr="001A4235">
        <w:rPr>
          <w:rFonts w:ascii="Times New Roman" w:hAnsi="Times New Roman"/>
          <w:sz w:val="28"/>
          <w:szCs w:val="28"/>
          <w:lang w:eastAsia="ru-RU"/>
        </w:rPr>
        <w:t xml:space="preserve">, преимущественно лимфоцитами и плазматическими клетками.  </w:t>
      </w:r>
      <w:r>
        <w:rPr>
          <w:rFonts w:ascii="Times New Roman" w:hAnsi="Times New Roman"/>
          <w:sz w:val="28"/>
          <w:szCs w:val="28"/>
          <w:lang w:eastAsia="ru-RU"/>
        </w:rPr>
        <w:t xml:space="preserve">Из-за высокой проницаемости </w:t>
      </w:r>
      <w:r w:rsidRPr="001A4235">
        <w:rPr>
          <w:rFonts w:ascii="Times New Roman" w:hAnsi="Times New Roman"/>
          <w:sz w:val="28"/>
          <w:szCs w:val="28"/>
          <w:lang w:eastAsia="ru-RU"/>
        </w:rPr>
        <w:t>микроциркуляторного русла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 </w:t>
      </w:r>
      <w:r w:rsidRPr="001A4235">
        <w:rPr>
          <w:rFonts w:ascii="Times New Roman" w:hAnsi="Times New Roman"/>
          <w:sz w:val="28"/>
          <w:szCs w:val="28"/>
          <w:lang w:eastAsia="ru-RU"/>
        </w:rPr>
        <w:t xml:space="preserve">выход во </w:t>
      </w:r>
      <w:proofErr w:type="spellStart"/>
      <w:r w:rsidRPr="001A4235">
        <w:rPr>
          <w:rFonts w:ascii="Times New Roman" w:hAnsi="Times New Roman"/>
          <w:sz w:val="28"/>
          <w:szCs w:val="28"/>
          <w:lang w:eastAsia="ru-RU"/>
        </w:rPr>
        <w:t>внутриальвеолярное</w:t>
      </w:r>
      <w:proofErr w:type="spellEnd"/>
      <w:r w:rsidRPr="001A4235">
        <w:rPr>
          <w:rFonts w:ascii="Times New Roman" w:hAnsi="Times New Roman"/>
          <w:sz w:val="28"/>
          <w:szCs w:val="28"/>
          <w:lang w:eastAsia="ru-RU"/>
        </w:rPr>
        <w:t xml:space="preserve"> пространство клеточных элементов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воспаления и </w:t>
      </w:r>
      <w:r w:rsidRPr="001A4235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рови.</w:t>
      </w:r>
      <w:r w:rsidRPr="001A4235">
        <w:rPr>
          <w:rFonts w:ascii="Times New Roman" w:hAnsi="Times New Roman"/>
          <w:sz w:val="28"/>
          <w:szCs w:val="28"/>
          <w:lang w:eastAsia="ru-RU"/>
        </w:rPr>
        <w:t xml:space="preserve"> По ходу терминальных воздухоносных путей и сопровождающих их артерий лежат обильные лимфоидно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A4235">
        <w:rPr>
          <w:rFonts w:ascii="Times New Roman" w:hAnsi="Times New Roman"/>
          <w:sz w:val="28"/>
          <w:szCs w:val="28"/>
          <w:lang w:eastAsia="ru-RU"/>
        </w:rPr>
        <w:t>макрофагальные инфильтраты,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характерные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бронхиолита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важного диагностического признака ЭАА (Черняев А.Л., Самсонова М.В., 2011;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Чучалин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А.Г., 2007).</w:t>
      </w:r>
      <w:r w:rsidRPr="001A42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03FE" w:rsidRDefault="00C703FE" w:rsidP="004D15D6">
      <w:pPr>
        <w:ind w:left="0" w:right="-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D15FE">
        <w:rPr>
          <w:rFonts w:ascii="Times New Roman" w:hAnsi="Times New Roman"/>
          <w:sz w:val="28"/>
          <w:szCs w:val="28"/>
          <w:lang w:eastAsia="ru-RU"/>
        </w:rPr>
        <w:t>риток в респиратор</w:t>
      </w:r>
      <w:r>
        <w:rPr>
          <w:rFonts w:ascii="Times New Roman" w:hAnsi="Times New Roman"/>
          <w:sz w:val="28"/>
          <w:szCs w:val="28"/>
          <w:lang w:eastAsia="ru-RU"/>
        </w:rPr>
        <w:t xml:space="preserve">ный отдел лимфоцитов хорошо отражает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цитограмма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БАЛ, где они составляют 63,86±3,23% . Среди лимфоцитов много зрелых плазматических клеток.  Кроме того, </w:t>
      </w:r>
      <w:r w:rsidRPr="000D15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определяются </w:t>
      </w:r>
      <w:r w:rsidRPr="000D15FE">
        <w:rPr>
          <w:rFonts w:ascii="Times New Roman" w:hAnsi="Times New Roman"/>
          <w:sz w:val="28"/>
          <w:szCs w:val="28"/>
          <w:lang w:eastAsia="ru-RU"/>
        </w:rPr>
        <w:t>все тип</w:t>
      </w:r>
      <w:r>
        <w:rPr>
          <w:rFonts w:ascii="Times New Roman" w:hAnsi="Times New Roman"/>
          <w:sz w:val="28"/>
          <w:szCs w:val="28"/>
          <w:lang w:eastAsia="ru-RU"/>
        </w:rPr>
        <w:t>ы гранулоцитов, в том числе нейтрофилы, что имеет важную диагностическую ценность для данного варианта ЭАА   (табл.1)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703FE" w:rsidRPr="0022166B" w:rsidRDefault="00C703FE" w:rsidP="0022166B">
      <w:pPr>
        <w:pStyle w:val="22"/>
        <w:ind w:left="0" w:right="-1" w:firstLine="0"/>
        <w:jc w:val="left"/>
        <w:rPr>
          <w:rFonts w:ascii="Times New Roman" w:hAnsi="Times New Roman"/>
          <w:sz w:val="24"/>
          <w:szCs w:val="28"/>
          <w:lang w:eastAsia="ru-RU"/>
        </w:rPr>
      </w:pPr>
      <w:r w:rsidRPr="0022166B">
        <w:rPr>
          <w:rFonts w:ascii="Times New Roman" w:hAnsi="Times New Roman"/>
          <w:b/>
          <w:sz w:val="24"/>
          <w:szCs w:val="28"/>
          <w:lang w:eastAsia="ru-RU"/>
        </w:rPr>
        <w:t>Таблица.1.</w:t>
      </w:r>
      <w:r w:rsidRPr="0022166B">
        <w:rPr>
          <w:rFonts w:ascii="Times New Roman" w:hAnsi="Times New Roman"/>
          <w:sz w:val="24"/>
          <w:szCs w:val="28"/>
          <w:lang w:eastAsia="ru-RU"/>
        </w:rPr>
        <w:t xml:space="preserve"> Особенности </w:t>
      </w:r>
      <w:proofErr w:type="spellStart"/>
      <w:r w:rsidRPr="0022166B">
        <w:rPr>
          <w:rFonts w:ascii="Times New Roman" w:hAnsi="Times New Roman"/>
          <w:sz w:val="24"/>
          <w:szCs w:val="28"/>
          <w:lang w:eastAsia="ru-RU"/>
        </w:rPr>
        <w:t>эндопульмональной</w:t>
      </w:r>
      <w:proofErr w:type="spellEnd"/>
      <w:r w:rsidRPr="0022166B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22166B">
        <w:rPr>
          <w:rFonts w:ascii="Times New Roman" w:hAnsi="Times New Roman"/>
          <w:sz w:val="24"/>
          <w:szCs w:val="28"/>
          <w:lang w:eastAsia="ru-RU"/>
        </w:rPr>
        <w:t>цитограммы</w:t>
      </w:r>
      <w:proofErr w:type="spellEnd"/>
      <w:r w:rsidRPr="0022166B">
        <w:rPr>
          <w:rFonts w:ascii="Times New Roman" w:hAnsi="Times New Roman"/>
          <w:sz w:val="24"/>
          <w:szCs w:val="28"/>
          <w:lang w:eastAsia="ru-RU"/>
        </w:rPr>
        <w:t xml:space="preserve"> БАЛ при разном течении ЭАА.</w:t>
      </w:r>
    </w:p>
    <w:tbl>
      <w:tblPr>
        <w:tblW w:w="949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63"/>
        <w:gridCol w:w="1322"/>
        <w:gridCol w:w="1443"/>
        <w:gridCol w:w="1443"/>
        <w:gridCol w:w="1322"/>
        <w:gridCol w:w="1202"/>
        <w:gridCol w:w="1202"/>
      </w:tblGrid>
      <w:tr w:rsidR="00C703FE" w:rsidRPr="00DB7FBE" w:rsidTr="00854815">
        <w:trPr>
          <w:cantSplit/>
          <w:trHeight w:val="437"/>
        </w:trPr>
        <w:tc>
          <w:tcPr>
            <w:tcW w:w="1563" w:type="dxa"/>
            <w:vMerge w:val="restart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0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группы наблюдения</w:t>
            </w:r>
          </w:p>
        </w:tc>
        <w:tc>
          <w:tcPr>
            <w:tcW w:w="1322" w:type="dxa"/>
            <w:vMerge w:val="restart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клеток в 1мл, х10</w:t>
            </w:r>
            <w:r w:rsidRPr="00DB7FBE">
              <w:rPr>
                <w:rFonts w:ascii="Arial Narrow" w:hAnsi="Arial Narrow"/>
                <w:sz w:val="24"/>
                <w:vertAlign w:val="superscript"/>
              </w:rPr>
              <w:t>6</w:t>
            </w:r>
          </w:p>
        </w:tc>
        <w:tc>
          <w:tcPr>
            <w:tcW w:w="6612" w:type="dxa"/>
            <w:gridSpan w:val="5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клеточные элементы</w:t>
            </w:r>
            <w:proofErr w:type="gramStart"/>
            <w:r w:rsidRPr="00DB7FBE">
              <w:rPr>
                <w:rFonts w:ascii="Arial Narrow" w:hAnsi="Arial Narrow"/>
                <w:sz w:val="24"/>
              </w:rPr>
              <w:t xml:space="preserve"> (%)</w:t>
            </w:r>
            <w:proofErr w:type="gramEnd"/>
          </w:p>
        </w:tc>
      </w:tr>
      <w:tr w:rsidR="00C703FE" w:rsidRPr="00DB7FBE" w:rsidTr="00854815">
        <w:trPr>
          <w:cantSplit/>
          <w:trHeight w:val="745"/>
        </w:trPr>
        <w:tc>
          <w:tcPr>
            <w:tcW w:w="1563" w:type="dxa"/>
            <w:vMerge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0"/>
              <w:rPr>
                <w:rFonts w:ascii="Arial Narrow" w:hAnsi="Arial Narrow"/>
                <w:sz w:val="24"/>
              </w:rPr>
            </w:pPr>
          </w:p>
        </w:tc>
        <w:tc>
          <w:tcPr>
            <w:tcW w:w="1322" w:type="dxa"/>
            <w:vMerge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</w:p>
        </w:tc>
        <w:tc>
          <w:tcPr>
            <w:tcW w:w="144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макрофаги</w:t>
            </w:r>
          </w:p>
        </w:tc>
        <w:tc>
          <w:tcPr>
            <w:tcW w:w="144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proofErr w:type="spellStart"/>
            <w:proofErr w:type="gramStart"/>
            <w:r w:rsidRPr="00DB7FBE">
              <w:rPr>
                <w:rFonts w:ascii="Arial Narrow" w:hAnsi="Arial Narrow"/>
                <w:sz w:val="24"/>
              </w:rPr>
              <w:t>лимфо-циты</w:t>
            </w:r>
            <w:proofErr w:type="spellEnd"/>
            <w:proofErr w:type="gramEnd"/>
          </w:p>
        </w:tc>
        <w:tc>
          <w:tcPr>
            <w:tcW w:w="132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proofErr w:type="spellStart"/>
            <w:proofErr w:type="gramStart"/>
            <w:r w:rsidRPr="00DB7FBE">
              <w:rPr>
                <w:rFonts w:ascii="Arial Narrow" w:hAnsi="Arial Narrow"/>
                <w:sz w:val="24"/>
              </w:rPr>
              <w:t>нейтро-филы</w:t>
            </w:r>
            <w:proofErr w:type="spellEnd"/>
            <w:proofErr w:type="gramEnd"/>
          </w:p>
        </w:tc>
        <w:tc>
          <w:tcPr>
            <w:tcW w:w="120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proofErr w:type="spellStart"/>
            <w:proofErr w:type="gramStart"/>
            <w:r w:rsidRPr="00DB7FBE">
              <w:rPr>
                <w:rFonts w:ascii="Arial Narrow" w:hAnsi="Arial Narrow"/>
                <w:sz w:val="24"/>
              </w:rPr>
              <w:t>эозино-филы</w:t>
            </w:r>
            <w:proofErr w:type="spellEnd"/>
            <w:proofErr w:type="gramEnd"/>
          </w:p>
        </w:tc>
        <w:tc>
          <w:tcPr>
            <w:tcW w:w="120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тучные клетки</w:t>
            </w:r>
          </w:p>
        </w:tc>
      </w:tr>
      <w:tr w:rsidR="00C703FE" w:rsidRPr="00DB7FBE" w:rsidTr="00854815">
        <w:trPr>
          <w:trHeight w:val="948"/>
        </w:trPr>
        <w:tc>
          <w:tcPr>
            <w:tcW w:w="156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0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 xml:space="preserve">Гр. сравнения (контроль) </w:t>
            </w:r>
            <w:r w:rsidRPr="00DB7FBE">
              <w:rPr>
                <w:rFonts w:ascii="Arial Narrow" w:hAnsi="Arial Narrow"/>
                <w:sz w:val="24"/>
                <w:lang w:val="en-US"/>
              </w:rPr>
              <w:t>n</w:t>
            </w:r>
            <w:r w:rsidRPr="00DB7FBE">
              <w:rPr>
                <w:rFonts w:ascii="Arial Narrow" w:hAnsi="Arial Narrow"/>
                <w:sz w:val="24"/>
              </w:rPr>
              <w:t>=8</w:t>
            </w:r>
          </w:p>
        </w:tc>
        <w:tc>
          <w:tcPr>
            <w:tcW w:w="132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0,12±0,09</w:t>
            </w:r>
          </w:p>
        </w:tc>
        <w:tc>
          <w:tcPr>
            <w:tcW w:w="144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81,02±6,09</w:t>
            </w:r>
          </w:p>
        </w:tc>
        <w:tc>
          <w:tcPr>
            <w:tcW w:w="144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10,86±3,91</w:t>
            </w:r>
          </w:p>
        </w:tc>
        <w:tc>
          <w:tcPr>
            <w:tcW w:w="132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3,93±1,02</w:t>
            </w:r>
          </w:p>
        </w:tc>
        <w:tc>
          <w:tcPr>
            <w:tcW w:w="120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0,38±0,24</w:t>
            </w:r>
          </w:p>
        </w:tc>
        <w:tc>
          <w:tcPr>
            <w:tcW w:w="120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0,21±0,29</w:t>
            </w:r>
          </w:p>
        </w:tc>
      </w:tr>
      <w:tr w:rsidR="00C703FE" w:rsidRPr="00DB7FBE" w:rsidTr="00854815">
        <w:trPr>
          <w:trHeight w:val="809"/>
        </w:trPr>
        <w:tc>
          <w:tcPr>
            <w:tcW w:w="156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0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острый n=30</w:t>
            </w:r>
          </w:p>
        </w:tc>
        <w:tc>
          <w:tcPr>
            <w:tcW w:w="132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b/>
                <w:sz w:val="24"/>
                <w:vertAlign w:val="superscript"/>
              </w:rPr>
            </w:pPr>
            <w:r w:rsidRPr="00DB7FBE">
              <w:rPr>
                <w:rFonts w:ascii="Arial Narrow" w:hAnsi="Arial Narrow"/>
                <w:b/>
                <w:sz w:val="24"/>
              </w:rPr>
              <w:t>0,59±0,10</w:t>
            </w:r>
            <w:r w:rsidRPr="00DB7FBE">
              <w:rPr>
                <w:rFonts w:ascii="Arial Narrow" w:hAnsi="Arial Narrow"/>
                <w:b/>
                <w:sz w:val="24"/>
                <w:vertAlign w:val="superscript"/>
              </w:rPr>
              <w:t>**</w:t>
            </w:r>
          </w:p>
        </w:tc>
        <w:tc>
          <w:tcPr>
            <w:tcW w:w="144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b/>
                <w:sz w:val="24"/>
                <w:vertAlign w:val="superscript"/>
              </w:rPr>
            </w:pPr>
            <w:r w:rsidRPr="00DB7FBE">
              <w:rPr>
                <w:rFonts w:ascii="Arial Narrow" w:hAnsi="Arial Narrow"/>
                <w:b/>
                <w:sz w:val="24"/>
              </w:rPr>
              <w:t>23,79±7,59</w:t>
            </w:r>
            <w:r w:rsidRPr="00DB7FBE">
              <w:rPr>
                <w:rFonts w:ascii="Arial Narrow" w:hAnsi="Arial Narrow"/>
                <w:b/>
                <w:sz w:val="24"/>
                <w:vertAlign w:val="superscript"/>
              </w:rPr>
              <w:t>**</w:t>
            </w:r>
          </w:p>
        </w:tc>
        <w:tc>
          <w:tcPr>
            <w:tcW w:w="144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b/>
                <w:sz w:val="24"/>
                <w:vertAlign w:val="superscript"/>
              </w:rPr>
            </w:pPr>
            <w:r w:rsidRPr="00DB7FBE">
              <w:rPr>
                <w:rFonts w:ascii="Arial Narrow" w:hAnsi="Arial Narrow"/>
                <w:b/>
                <w:sz w:val="24"/>
              </w:rPr>
              <w:t>63,86±3,23</w:t>
            </w:r>
            <w:r w:rsidRPr="00DB7FBE">
              <w:rPr>
                <w:rFonts w:ascii="Arial Narrow" w:hAnsi="Arial Narrow"/>
                <w:b/>
                <w:sz w:val="24"/>
                <w:vertAlign w:val="superscript"/>
              </w:rPr>
              <w:t>**</w:t>
            </w:r>
          </w:p>
        </w:tc>
        <w:tc>
          <w:tcPr>
            <w:tcW w:w="132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b/>
                <w:sz w:val="24"/>
              </w:rPr>
            </w:pPr>
            <w:r w:rsidRPr="00DB7FBE">
              <w:rPr>
                <w:rFonts w:ascii="Arial Narrow" w:hAnsi="Arial Narrow"/>
                <w:b/>
                <w:sz w:val="24"/>
              </w:rPr>
              <w:t>8,79±2,44</w:t>
            </w:r>
            <w:r w:rsidRPr="00DB7FBE">
              <w:rPr>
                <w:rFonts w:ascii="Arial Narrow" w:hAnsi="Arial Narrow"/>
                <w:b/>
                <w:sz w:val="24"/>
                <w:vertAlign w:val="superscript"/>
              </w:rPr>
              <w:t>*</w:t>
            </w:r>
          </w:p>
        </w:tc>
        <w:tc>
          <w:tcPr>
            <w:tcW w:w="120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1,76±1,58</w:t>
            </w:r>
          </w:p>
        </w:tc>
        <w:tc>
          <w:tcPr>
            <w:tcW w:w="120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1,08±1,10</w:t>
            </w:r>
          </w:p>
        </w:tc>
      </w:tr>
      <w:tr w:rsidR="00C703FE" w:rsidRPr="00DB7FBE" w:rsidTr="00854815">
        <w:trPr>
          <w:trHeight w:val="809"/>
        </w:trPr>
        <w:tc>
          <w:tcPr>
            <w:tcW w:w="156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0"/>
              <w:rPr>
                <w:rFonts w:ascii="Arial Narrow" w:hAnsi="Arial Narrow"/>
                <w:sz w:val="24"/>
              </w:rPr>
            </w:pPr>
            <w:proofErr w:type="spellStart"/>
            <w:r w:rsidRPr="00DB7FBE">
              <w:rPr>
                <w:rFonts w:ascii="Arial Narrow" w:hAnsi="Arial Narrow"/>
                <w:sz w:val="24"/>
              </w:rPr>
              <w:t>подострый</w:t>
            </w:r>
            <w:proofErr w:type="spellEnd"/>
            <w:r w:rsidRPr="00DB7FBE">
              <w:rPr>
                <w:rFonts w:ascii="Arial Narrow" w:hAnsi="Arial Narrow"/>
                <w:sz w:val="24"/>
                <w:lang w:val="en-US"/>
              </w:rPr>
              <w:t xml:space="preserve"> n=</w:t>
            </w:r>
            <w:r w:rsidRPr="00DB7FBE">
              <w:rPr>
                <w:rFonts w:ascii="Arial Narrow" w:hAnsi="Arial Narrow"/>
                <w:sz w:val="24"/>
              </w:rPr>
              <w:t>43</w:t>
            </w:r>
          </w:p>
        </w:tc>
        <w:tc>
          <w:tcPr>
            <w:tcW w:w="132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  <w:vertAlign w:val="superscript"/>
              </w:rPr>
            </w:pPr>
            <w:r w:rsidRPr="00DB7FBE">
              <w:rPr>
                <w:rFonts w:ascii="Arial Narrow" w:hAnsi="Arial Narrow"/>
                <w:sz w:val="24"/>
              </w:rPr>
              <w:t>0,38±0,05</w:t>
            </w:r>
            <w:r w:rsidRPr="00DB7FBE">
              <w:rPr>
                <w:rFonts w:ascii="Arial Narrow" w:hAnsi="Arial Narrow"/>
                <w:sz w:val="24"/>
                <w:vertAlign w:val="superscript"/>
              </w:rPr>
              <w:t>*</w:t>
            </w:r>
          </w:p>
        </w:tc>
        <w:tc>
          <w:tcPr>
            <w:tcW w:w="144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  <w:vertAlign w:val="superscript"/>
              </w:rPr>
            </w:pPr>
            <w:r w:rsidRPr="00DB7FBE">
              <w:rPr>
                <w:rFonts w:ascii="Arial Narrow" w:hAnsi="Arial Narrow"/>
                <w:sz w:val="24"/>
              </w:rPr>
              <w:t>57,68±8,89</w:t>
            </w:r>
            <w:r w:rsidRPr="00DB7FBE">
              <w:rPr>
                <w:rFonts w:ascii="Arial Narrow" w:hAnsi="Arial Narrow"/>
                <w:sz w:val="24"/>
                <w:vertAlign w:val="superscript"/>
              </w:rPr>
              <w:t>*</w:t>
            </w:r>
          </w:p>
        </w:tc>
        <w:tc>
          <w:tcPr>
            <w:tcW w:w="144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  <w:vertAlign w:val="superscript"/>
              </w:rPr>
            </w:pPr>
            <w:r w:rsidRPr="00DB7FBE">
              <w:rPr>
                <w:rFonts w:ascii="Arial Narrow" w:hAnsi="Arial Narrow"/>
                <w:sz w:val="24"/>
              </w:rPr>
              <w:t>33,49±5,08</w:t>
            </w:r>
            <w:r w:rsidRPr="00DB7FBE">
              <w:rPr>
                <w:rFonts w:ascii="Arial Narrow" w:hAnsi="Arial Narrow"/>
                <w:sz w:val="24"/>
                <w:vertAlign w:val="superscript"/>
              </w:rPr>
              <w:t>*</w:t>
            </w:r>
          </w:p>
        </w:tc>
        <w:tc>
          <w:tcPr>
            <w:tcW w:w="132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5,42±3,29</w:t>
            </w:r>
          </w:p>
        </w:tc>
        <w:tc>
          <w:tcPr>
            <w:tcW w:w="120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2,99±1,97</w:t>
            </w:r>
          </w:p>
        </w:tc>
        <w:tc>
          <w:tcPr>
            <w:tcW w:w="120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1,92±1,23</w:t>
            </w:r>
          </w:p>
        </w:tc>
      </w:tr>
      <w:tr w:rsidR="00C703FE" w:rsidRPr="00DB7FBE" w:rsidTr="00854815">
        <w:trPr>
          <w:trHeight w:val="809"/>
        </w:trPr>
        <w:tc>
          <w:tcPr>
            <w:tcW w:w="156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0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 xml:space="preserve">хронический </w:t>
            </w:r>
            <w:r w:rsidRPr="00DB7FBE">
              <w:rPr>
                <w:rFonts w:ascii="Arial Narrow" w:hAnsi="Arial Narrow"/>
                <w:sz w:val="24"/>
                <w:lang w:val="en-US"/>
              </w:rPr>
              <w:t>n=</w:t>
            </w:r>
            <w:r w:rsidRPr="00DB7FBE">
              <w:rPr>
                <w:rFonts w:ascii="Arial Narrow" w:hAnsi="Arial Narrow"/>
                <w:sz w:val="24"/>
              </w:rPr>
              <w:t>24</w:t>
            </w:r>
          </w:p>
        </w:tc>
        <w:tc>
          <w:tcPr>
            <w:tcW w:w="132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0,08±0,02</w:t>
            </w:r>
          </w:p>
        </w:tc>
        <w:tc>
          <w:tcPr>
            <w:tcW w:w="144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81,39±6,49</w:t>
            </w:r>
          </w:p>
        </w:tc>
        <w:tc>
          <w:tcPr>
            <w:tcW w:w="144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12,90±5,20</w:t>
            </w:r>
          </w:p>
        </w:tc>
        <w:tc>
          <w:tcPr>
            <w:tcW w:w="132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3,96±1,92</w:t>
            </w:r>
          </w:p>
        </w:tc>
        <w:tc>
          <w:tcPr>
            <w:tcW w:w="120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0,97±0,95</w:t>
            </w:r>
          </w:p>
        </w:tc>
        <w:tc>
          <w:tcPr>
            <w:tcW w:w="120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0,53±0,76</w:t>
            </w:r>
          </w:p>
        </w:tc>
      </w:tr>
      <w:tr w:rsidR="00C703FE" w:rsidRPr="00DB7FBE" w:rsidTr="00854815">
        <w:trPr>
          <w:trHeight w:val="809"/>
        </w:trPr>
        <w:tc>
          <w:tcPr>
            <w:tcW w:w="156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0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 xml:space="preserve">Рецидивирующий </w:t>
            </w:r>
            <w:r w:rsidRPr="00DB7FBE">
              <w:rPr>
                <w:rFonts w:ascii="Arial Narrow" w:hAnsi="Arial Narrow"/>
                <w:sz w:val="24"/>
                <w:lang w:val="en-US"/>
              </w:rPr>
              <w:t>n</w:t>
            </w:r>
            <w:r w:rsidRPr="00DB7FBE">
              <w:rPr>
                <w:rFonts w:ascii="Arial Narrow" w:hAnsi="Arial Narrow"/>
                <w:sz w:val="24"/>
              </w:rPr>
              <w:t>=8</w:t>
            </w:r>
          </w:p>
        </w:tc>
        <w:tc>
          <w:tcPr>
            <w:tcW w:w="132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0,22±0,12</w:t>
            </w:r>
          </w:p>
        </w:tc>
        <w:tc>
          <w:tcPr>
            <w:tcW w:w="144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77,05±9,51</w:t>
            </w:r>
          </w:p>
        </w:tc>
        <w:tc>
          <w:tcPr>
            <w:tcW w:w="144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24,72±6,08</w:t>
            </w:r>
          </w:p>
        </w:tc>
        <w:tc>
          <w:tcPr>
            <w:tcW w:w="132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6,51±3,21</w:t>
            </w:r>
          </w:p>
        </w:tc>
        <w:tc>
          <w:tcPr>
            <w:tcW w:w="120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1,05±1,02</w:t>
            </w:r>
          </w:p>
        </w:tc>
        <w:tc>
          <w:tcPr>
            <w:tcW w:w="1202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1,06±1,09</w:t>
            </w:r>
          </w:p>
        </w:tc>
      </w:tr>
    </w:tbl>
    <w:p w:rsidR="00C703FE" w:rsidRPr="00E167FC" w:rsidRDefault="00C703FE" w:rsidP="00C66A52">
      <w:pPr>
        <w:ind w:left="0" w:right="-1"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E167FC">
        <w:rPr>
          <w:rFonts w:ascii="Arial" w:hAnsi="Arial" w:cs="Arial"/>
          <w:b/>
        </w:rPr>
        <w:t xml:space="preserve">Разница достоверна по сравнению с контролем: *  -  </w:t>
      </w:r>
      <w:r w:rsidRPr="00E167FC">
        <w:rPr>
          <w:rFonts w:ascii="Arial" w:hAnsi="Arial" w:cs="Arial"/>
          <w:b/>
          <w:lang w:val="en-US"/>
        </w:rPr>
        <w:t>p</w:t>
      </w:r>
      <w:r w:rsidRPr="00E167FC">
        <w:rPr>
          <w:rFonts w:ascii="Arial" w:hAnsi="Arial" w:cs="Arial"/>
          <w:b/>
        </w:rPr>
        <w:t xml:space="preserve"> &lt; 0,05  ,  </w:t>
      </w:r>
      <w:r w:rsidRPr="00E167FC">
        <w:rPr>
          <w:rFonts w:ascii="Arial" w:hAnsi="Arial" w:cs="Arial"/>
          <w:b/>
          <w:vertAlign w:val="superscript"/>
        </w:rPr>
        <w:t xml:space="preserve">** </w:t>
      </w:r>
      <w:r w:rsidRPr="00E167FC">
        <w:rPr>
          <w:rFonts w:ascii="Arial" w:hAnsi="Arial" w:cs="Arial"/>
          <w:b/>
        </w:rPr>
        <w:t xml:space="preserve"> -  </w:t>
      </w:r>
      <w:r w:rsidRPr="00E167FC">
        <w:rPr>
          <w:rFonts w:ascii="Arial" w:hAnsi="Arial" w:cs="Arial"/>
          <w:b/>
          <w:lang w:val="en-US"/>
        </w:rPr>
        <w:t>p</w:t>
      </w:r>
      <w:r w:rsidRPr="00E167FC">
        <w:rPr>
          <w:rFonts w:ascii="Arial" w:hAnsi="Arial" w:cs="Arial"/>
          <w:b/>
        </w:rPr>
        <w:t xml:space="preserve"> &lt; 0,01.</w:t>
      </w:r>
    </w:p>
    <w:p w:rsidR="00C703FE" w:rsidRDefault="00C703FE" w:rsidP="00854815">
      <w:pPr>
        <w:spacing w:before="0"/>
        <w:ind w:left="0" w:righ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Характерно, что при остром варианте ЭАА величина индекса </w:t>
      </w:r>
      <w:r w:rsidRPr="000D15FE">
        <w:rPr>
          <w:rFonts w:ascii="Times New Roman" w:hAnsi="Times New Roman"/>
          <w:sz w:val="28"/>
          <w:szCs w:val="28"/>
          <w:lang w:eastAsia="ru-RU"/>
        </w:rPr>
        <w:t>СД</w:t>
      </w:r>
      <w:proofErr w:type="gramStart"/>
      <w:r w:rsidRPr="000D15FE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0D15FE">
        <w:rPr>
          <w:rFonts w:ascii="Times New Roman" w:hAnsi="Times New Roman"/>
          <w:sz w:val="28"/>
          <w:szCs w:val="28"/>
          <w:lang w:eastAsia="ru-RU"/>
        </w:rPr>
        <w:t>/СД8 больше 1</w:t>
      </w:r>
      <w:r>
        <w:rPr>
          <w:rFonts w:ascii="Times New Roman" w:hAnsi="Times New Roman"/>
          <w:sz w:val="28"/>
          <w:szCs w:val="28"/>
          <w:lang w:eastAsia="ru-RU"/>
        </w:rPr>
        <w:t xml:space="preserve"> (табл.2), что так же составляет характерную особенность этой группы больных. </w:t>
      </w:r>
    </w:p>
    <w:p w:rsidR="00C703FE" w:rsidRPr="00E167FC" w:rsidRDefault="00C703FE" w:rsidP="00854815">
      <w:pPr>
        <w:spacing w:before="0"/>
        <w:ind w:left="0" w:right="0" w:firstLine="0"/>
        <w:jc w:val="both"/>
        <w:rPr>
          <w:rFonts w:ascii="Arial Narrow" w:hAnsi="Arial Narrow"/>
          <w:sz w:val="24"/>
          <w:szCs w:val="28"/>
          <w:lang w:eastAsia="ru-RU"/>
        </w:rPr>
      </w:pPr>
      <w:r w:rsidRPr="00E167FC">
        <w:rPr>
          <w:rFonts w:ascii="Arial Narrow" w:hAnsi="Arial Narrow"/>
          <w:b/>
          <w:sz w:val="24"/>
          <w:szCs w:val="28"/>
          <w:lang w:eastAsia="ru-RU"/>
        </w:rPr>
        <w:lastRenderedPageBreak/>
        <w:t>Таблица 2</w:t>
      </w:r>
      <w:r w:rsidRPr="00E167FC">
        <w:rPr>
          <w:rFonts w:ascii="Arial Narrow" w:hAnsi="Arial Narrow"/>
          <w:sz w:val="24"/>
          <w:szCs w:val="28"/>
          <w:lang w:eastAsia="ru-RU"/>
        </w:rPr>
        <w:t xml:space="preserve">. Сравнительная характеристика </w:t>
      </w:r>
      <w:r>
        <w:rPr>
          <w:rFonts w:ascii="Arial Narrow" w:hAnsi="Arial Narrow"/>
          <w:sz w:val="24"/>
          <w:szCs w:val="28"/>
          <w:lang w:eastAsia="ru-RU"/>
        </w:rPr>
        <w:t xml:space="preserve">величины </w:t>
      </w:r>
      <w:r w:rsidRPr="00E167FC">
        <w:rPr>
          <w:rFonts w:ascii="Arial Narrow" w:hAnsi="Arial Narrow"/>
          <w:sz w:val="24"/>
          <w:szCs w:val="28"/>
          <w:lang w:eastAsia="ru-RU"/>
        </w:rPr>
        <w:t xml:space="preserve">индекса </w:t>
      </w:r>
      <w:r w:rsidRPr="00E167FC">
        <w:rPr>
          <w:rFonts w:ascii="Arial Narrow" w:hAnsi="Arial Narrow"/>
          <w:sz w:val="24"/>
          <w:szCs w:val="28"/>
          <w:lang w:val="en-US" w:eastAsia="ru-RU"/>
        </w:rPr>
        <w:t>CD</w:t>
      </w:r>
      <w:r w:rsidRPr="00E167FC">
        <w:rPr>
          <w:rFonts w:ascii="Arial Narrow" w:hAnsi="Arial Narrow"/>
          <w:sz w:val="24"/>
          <w:szCs w:val="28"/>
          <w:lang w:eastAsia="ru-RU"/>
        </w:rPr>
        <w:t>4/</w:t>
      </w:r>
      <w:r w:rsidRPr="00E167FC">
        <w:rPr>
          <w:rFonts w:ascii="Arial Narrow" w:hAnsi="Arial Narrow"/>
          <w:sz w:val="24"/>
          <w:szCs w:val="28"/>
          <w:lang w:val="en-US" w:eastAsia="ru-RU"/>
        </w:rPr>
        <w:t>CD</w:t>
      </w:r>
      <w:r w:rsidRPr="00E167FC">
        <w:rPr>
          <w:rFonts w:ascii="Arial Narrow" w:hAnsi="Arial Narrow"/>
          <w:sz w:val="24"/>
          <w:szCs w:val="28"/>
          <w:lang w:eastAsia="ru-RU"/>
        </w:rPr>
        <w:t>8 при различных вариантах ЭАА.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343"/>
        <w:gridCol w:w="2045"/>
        <w:gridCol w:w="2652"/>
        <w:gridCol w:w="2364"/>
      </w:tblGrid>
      <w:tr w:rsidR="00C703FE" w:rsidRPr="00DB7FBE" w:rsidTr="00E167FC">
        <w:trPr>
          <w:trHeight w:val="437"/>
          <w:tblCellSpacing w:w="0" w:type="dxa"/>
        </w:trPr>
        <w:tc>
          <w:tcPr>
            <w:tcW w:w="2343" w:type="dxa"/>
            <w:vAlign w:val="center"/>
          </w:tcPr>
          <w:p w:rsidR="00C703FE" w:rsidRPr="00DB7FBE" w:rsidRDefault="00C703FE" w:rsidP="00E60B9D">
            <w:pPr>
              <w:keepNext/>
              <w:ind w:left="0" w:right="-1" w:firstLine="0"/>
              <w:rPr>
                <w:sz w:val="28"/>
                <w:szCs w:val="28"/>
              </w:rPr>
            </w:pPr>
            <w:r w:rsidRPr="00DB7FBE">
              <w:rPr>
                <w:sz w:val="28"/>
                <w:szCs w:val="28"/>
              </w:rPr>
              <w:t>Вариант ЭАА</w:t>
            </w:r>
          </w:p>
        </w:tc>
        <w:tc>
          <w:tcPr>
            <w:tcW w:w="2045" w:type="dxa"/>
          </w:tcPr>
          <w:p w:rsidR="00C703FE" w:rsidRPr="00DB7FBE" w:rsidRDefault="00C703FE" w:rsidP="009A3065">
            <w:pPr>
              <w:keepNext/>
              <w:ind w:left="0" w:right="-1" w:firstLine="0"/>
              <w:rPr>
                <w:sz w:val="28"/>
                <w:szCs w:val="28"/>
                <w:lang w:val="en-US"/>
              </w:rPr>
            </w:pPr>
            <w:r w:rsidRPr="00DB7FBE">
              <w:rPr>
                <w:sz w:val="28"/>
                <w:szCs w:val="28"/>
                <w:lang w:val="en-US"/>
              </w:rPr>
              <w:t>CD4</w:t>
            </w:r>
          </w:p>
        </w:tc>
        <w:tc>
          <w:tcPr>
            <w:tcW w:w="2652" w:type="dxa"/>
            <w:vAlign w:val="center"/>
          </w:tcPr>
          <w:p w:rsidR="00C703FE" w:rsidRPr="00DB7FBE" w:rsidRDefault="00C703FE" w:rsidP="009A3065">
            <w:pPr>
              <w:keepNext/>
              <w:ind w:left="0" w:right="-1" w:firstLine="37"/>
              <w:rPr>
                <w:sz w:val="28"/>
                <w:szCs w:val="28"/>
              </w:rPr>
            </w:pPr>
            <w:r w:rsidRPr="00DB7FBE">
              <w:rPr>
                <w:sz w:val="28"/>
                <w:szCs w:val="28"/>
                <w:lang w:val="en-US"/>
              </w:rPr>
              <w:t>CD8</w:t>
            </w:r>
          </w:p>
        </w:tc>
        <w:tc>
          <w:tcPr>
            <w:tcW w:w="2364" w:type="dxa"/>
            <w:vAlign w:val="center"/>
          </w:tcPr>
          <w:p w:rsidR="00C703FE" w:rsidRPr="00DB7FBE" w:rsidRDefault="00C703FE" w:rsidP="009A3065">
            <w:pPr>
              <w:keepNext/>
              <w:ind w:left="0" w:right="-1" w:firstLine="0"/>
              <w:rPr>
                <w:b/>
                <w:sz w:val="28"/>
                <w:szCs w:val="28"/>
              </w:rPr>
            </w:pPr>
            <w:r w:rsidRPr="00DB7FBE">
              <w:rPr>
                <w:b/>
                <w:sz w:val="28"/>
                <w:szCs w:val="28"/>
                <w:lang w:val="en-US"/>
              </w:rPr>
              <w:t>CD</w:t>
            </w:r>
            <w:r w:rsidRPr="00DB7FBE">
              <w:rPr>
                <w:b/>
                <w:sz w:val="28"/>
                <w:szCs w:val="28"/>
              </w:rPr>
              <w:t>4/</w:t>
            </w:r>
            <w:r w:rsidRPr="00DB7FBE">
              <w:rPr>
                <w:b/>
                <w:sz w:val="28"/>
                <w:szCs w:val="28"/>
                <w:lang w:val="en-US"/>
              </w:rPr>
              <w:t>CD</w:t>
            </w:r>
            <w:r w:rsidRPr="00DB7FBE">
              <w:rPr>
                <w:b/>
                <w:sz w:val="28"/>
                <w:szCs w:val="28"/>
              </w:rPr>
              <w:t>8</w:t>
            </w:r>
          </w:p>
        </w:tc>
      </w:tr>
      <w:tr w:rsidR="00C703FE" w:rsidRPr="00DB7FBE" w:rsidTr="00E167FC">
        <w:trPr>
          <w:trHeight w:val="347"/>
          <w:tblCellSpacing w:w="0" w:type="dxa"/>
        </w:trPr>
        <w:tc>
          <w:tcPr>
            <w:tcW w:w="2343" w:type="dxa"/>
            <w:vAlign w:val="center"/>
          </w:tcPr>
          <w:p w:rsidR="00C703FE" w:rsidRPr="00DB7FBE" w:rsidRDefault="00C703FE" w:rsidP="009A3065">
            <w:pPr>
              <w:keepNext/>
              <w:ind w:left="0" w:right="-1" w:firstLine="0"/>
              <w:rPr>
                <w:sz w:val="28"/>
                <w:szCs w:val="28"/>
              </w:rPr>
            </w:pPr>
            <w:r w:rsidRPr="00DB7FBE">
              <w:rPr>
                <w:sz w:val="28"/>
                <w:szCs w:val="28"/>
              </w:rPr>
              <w:t>Острый</w:t>
            </w:r>
          </w:p>
        </w:tc>
        <w:tc>
          <w:tcPr>
            <w:tcW w:w="2045" w:type="dxa"/>
          </w:tcPr>
          <w:p w:rsidR="00C703FE" w:rsidRPr="00DB7FBE" w:rsidRDefault="00C703FE" w:rsidP="009A3065">
            <w:pPr>
              <w:keepNext/>
              <w:ind w:left="0" w:right="-1" w:firstLine="0"/>
              <w:rPr>
                <w:sz w:val="28"/>
                <w:szCs w:val="28"/>
              </w:rPr>
            </w:pPr>
            <w:r w:rsidRPr="00DB7FBE">
              <w:rPr>
                <w:sz w:val="28"/>
                <w:szCs w:val="28"/>
              </w:rPr>
              <w:t>14,2±3,3</w:t>
            </w:r>
          </w:p>
        </w:tc>
        <w:tc>
          <w:tcPr>
            <w:tcW w:w="2652" w:type="dxa"/>
            <w:vAlign w:val="center"/>
          </w:tcPr>
          <w:p w:rsidR="00C703FE" w:rsidRPr="00DB7FBE" w:rsidRDefault="00C703FE" w:rsidP="009A3065">
            <w:pPr>
              <w:keepNext/>
              <w:ind w:left="0" w:right="-1" w:firstLine="37"/>
              <w:rPr>
                <w:sz w:val="28"/>
                <w:szCs w:val="28"/>
              </w:rPr>
            </w:pPr>
            <w:r w:rsidRPr="00DB7FBE">
              <w:rPr>
                <w:sz w:val="28"/>
                <w:szCs w:val="28"/>
              </w:rPr>
              <w:t>27,5±9,5</w:t>
            </w:r>
          </w:p>
        </w:tc>
        <w:tc>
          <w:tcPr>
            <w:tcW w:w="2364" w:type="dxa"/>
            <w:vAlign w:val="center"/>
          </w:tcPr>
          <w:p w:rsidR="00C703FE" w:rsidRPr="00DB7FBE" w:rsidRDefault="00C703FE" w:rsidP="009A3065">
            <w:pPr>
              <w:keepNext/>
              <w:ind w:left="0" w:right="-1" w:firstLine="0"/>
              <w:rPr>
                <w:b/>
                <w:sz w:val="28"/>
                <w:szCs w:val="28"/>
              </w:rPr>
            </w:pPr>
            <w:r w:rsidRPr="00DB7FBE">
              <w:rPr>
                <w:b/>
                <w:sz w:val="28"/>
                <w:szCs w:val="28"/>
              </w:rPr>
              <w:t>1,15±0,45</w:t>
            </w:r>
          </w:p>
        </w:tc>
      </w:tr>
      <w:tr w:rsidR="00C703FE" w:rsidRPr="00DB7FBE" w:rsidTr="00E167FC">
        <w:trPr>
          <w:trHeight w:val="457"/>
          <w:tblCellSpacing w:w="0" w:type="dxa"/>
        </w:trPr>
        <w:tc>
          <w:tcPr>
            <w:tcW w:w="2343" w:type="dxa"/>
            <w:vAlign w:val="center"/>
          </w:tcPr>
          <w:p w:rsidR="00C703FE" w:rsidRPr="00DB7FBE" w:rsidRDefault="00C703FE" w:rsidP="009A3065">
            <w:pPr>
              <w:keepNext/>
              <w:ind w:left="0" w:right="-1" w:firstLine="0"/>
              <w:rPr>
                <w:sz w:val="28"/>
                <w:szCs w:val="28"/>
              </w:rPr>
            </w:pPr>
            <w:proofErr w:type="spellStart"/>
            <w:r w:rsidRPr="00DB7FBE">
              <w:rPr>
                <w:sz w:val="28"/>
                <w:szCs w:val="28"/>
              </w:rPr>
              <w:t>Подострый</w:t>
            </w:r>
            <w:proofErr w:type="spellEnd"/>
          </w:p>
        </w:tc>
        <w:tc>
          <w:tcPr>
            <w:tcW w:w="2045" w:type="dxa"/>
          </w:tcPr>
          <w:p w:rsidR="00C703FE" w:rsidRPr="00DB7FBE" w:rsidRDefault="00C703FE" w:rsidP="009A3065">
            <w:pPr>
              <w:keepNext/>
              <w:ind w:left="0" w:right="-1" w:firstLine="0"/>
              <w:rPr>
                <w:sz w:val="28"/>
                <w:szCs w:val="28"/>
              </w:rPr>
            </w:pPr>
            <w:r w:rsidRPr="00DB7FBE">
              <w:rPr>
                <w:sz w:val="28"/>
                <w:szCs w:val="28"/>
              </w:rPr>
              <w:t>5,9±2,8</w:t>
            </w:r>
            <w:r w:rsidRPr="00DB7FBE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2652" w:type="dxa"/>
            <w:vAlign w:val="center"/>
          </w:tcPr>
          <w:p w:rsidR="00C703FE" w:rsidRPr="00DB7FBE" w:rsidRDefault="00C703FE" w:rsidP="009A3065">
            <w:pPr>
              <w:keepNext/>
              <w:ind w:left="0" w:right="-1" w:firstLine="37"/>
              <w:rPr>
                <w:sz w:val="28"/>
                <w:szCs w:val="28"/>
              </w:rPr>
            </w:pPr>
            <w:r w:rsidRPr="00DB7FBE">
              <w:rPr>
                <w:sz w:val="28"/>
                <w:szCs w:val="28"/>
              </w:rPr>
              <w:t>17,3±10,5</w:t>
            </w:r>
          </w:p>
        </w:tc>
        <w:tc>
          <w:tcPr>
            <w:tcW w:w="2364" w:type="dxa"/>
            <w:vAlign w:val="center"/>
          </w:tcPr>
          <w:p w:rsidR="00C703FE" w:rsidRPr="00DB7FBE" w:rsidRDefault="00C703FE" w:rsidP="009A3065">
            <w:pPr>
              <w:keepNext/>
              <w:ind w:left="0" w:right="-1" w:firstLine="0"/>
              <w:rPr>
                <w:b/>
                <w:sz w:val="28"/>
                <w:szCs w:val="28"/>
                <w:lang w:val="en-US"/>
              </w:rPr>
            </w:pPr>
            <w:r w:rsidRPr="00DB7FBE">
              <w:rPr>
                <w:b/>
                <w:sz w:val="28"/>
                <w:szCs w:val="28"/>
              </w:rPr>
              <w:t>0,61±0,13</w:t>
            </w:r>
            <w:r w:rsidRPr="00DB7FBE">
              <w:rPr>
                <w:b/>
                <w:sz w:val="28"/>
                <w:szCs w:val="28"/>
                <w:lang w:val="en-US"/>
              </w:rPr>
              <w:t>*</w:t>
            </w:r>
          </w:p>
        </w:tc>
      </w:tr>
      <w:tr w:rsidR="00C703FE" w:rsidRPr="00DB7FBE" w:rsidTr="00E167FC">
        <w:trPr>
          <w:trHeight w:val="53"/>
          <w:tblCellSpacing w:w="0" w:type="dxa"/>
        </w:trPr>
        <w:tc>
          <w:tcPr>
            <w:tcW w:w="2343" w:type="dxa"/>
            <w:vAlign w:val="center"/>
          </w:tcPr>
          <w:p w:rsidR="00C703FE" w:rsidRPr="00DB7FBE" w:rsidRDefault="00C703FE" w:rsidP="009A3065">
            <w:pPr>
              <w:ind w:left="0" w:right="-1" w:firstLine="0"/>
              <w:rPr>
                <w:sz w:val="28"/>
                <w:szCs w:val="28"/>
              </w:rPr>
            </w:pPr>
            <w:r w:rsidRPr="00DB7FBE">
              <w:rPr>
                <w:sz w:val="28"/>
                <w:szCs w:val="28"/>
              </w:rPr>
              <w:t>Хронический</w:t>
            </w:r>
          </w:p>
        </w:tc>
        <w:tc>
          <w:tcPr>
            <w:tcW w:w="2045" w:type="dxa"/>
          </w:tcPr>
          <w:p w:rsidR="00C703FE" w:rsidRPr="00DB7FBE" w:rsidRDefault="00C703FE" w:rsidP="009A3065">
            <w:pPr>
              <w:ind w:left="0" w:right="-1" w:firstLine="0"/>
              <w:rPr>
                <w:sz w:val="28"/>
                <w:szCs w:val="28"/>
              </w:rPr>
            </w:pPr>
            <w:r w:rsidRPr="00DB7FBE">
              <w:rPr>
                <w:sz w:val="28"/>
                <w:szCs w:val="28"/>
              </w:rPr>
              <w:t>8,3±0,4</w:t>
            </w:r>
            <w:r w:rsidRPr="00DB7FBE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2652" w:type="dxa"/>
            <w:vAlign w:val="center"/>
          </w:tcPr>
          <w:p w:rsidR="00C703FE" w:rsidRPr="00DB7FBE" w:rsidRDefault="00C703FE" w:rsidP="009A3065">
            <w:pPr>
              <w:ind w:left="0" w:right="-1" w:firstLine="37"/>
              <w:rPr>
                <w:sz w:val="28"/>
                <w:szCs w:val="28"/>
              </w:rPr>
            </w:pPr>
            <w:r w:rsidRPr="00DB7FBE">
              <w:rPr>
                <w:sz w:val="28"/>
                <w:szCs w:val="28"/>
              </w:rPr>
              <w:t>21±1,1</w:t>
            </w:r>
          </w:p>
        </w:tc>
        <w:tc>
          <w:tcPr>
            <w:tcW w:w="2364" w:type="dxa"/>
            <w:vAlign w:val="center"/>
          </w:tcPr>
          <w:p w:rsidR="00C703FE" w:rsidRPr="00DB7FBE" w:rsidRDefault="00C703FE" w:rsidP="009A3065">
            <w:pPr>
              <w:ind w:left="0" w:right="-1" w:firstLine="0"/>
              <w:rPr>
                <w:b/>
                <w:sz w:val="28"/>
                <w:szCs w:val="28"/>
                <w:lang w:val="en-US"/>
              </w:rPr>
            </w:pPr>
            <w:r w:rsidRPr="00DB7FBE">
              <w:rPr>
                <w:b/>
                <w:sz w:val="28"/>
                <w:szCs w:val="28"/>
              </w:rPr>
              <w:t>0,4±0,02</w:t>
            </w:r>
            <w:r w:rsidRPr="00DB7FBE">
              <w:rPr>
                <w:b/>
                <w:sz w:val="28"/>
                <w:szCs w:val="28"/>
                <w:lang w:val="en-US"/>
              </w:rPr>
              <w:t>**</w:t>
            </w:r>
          </w:p>
        </w:tc>
      </w:tr>
    </w:tbl>
    <w:p w:rsidR="00C703FE" w:rsidRPr="00E167FC" w:rsidRDefault="00C703FE" w:rsidP="00854815">
      <w:pPr>
        <w:spacing w:before="0"/>
        <w:ind w:left="0" w:right="0" w:firstLine="0"/>
        <w:jc w:val="left"/>
        <w:rPr>
          <w:rFonts w:ascii="Arial Narrow" w:hAnsi="Arial Narrow"/>
          <w:b/>
          <w:sz w:val="32"/>
          <w:szCs w:val="28"/>
          <w:lang w:eastAsia="ru-RU"/>
        </w:rPr>
      </w:pPr>
      <w:r w:rsidRPr="00E167FC">
        <w:rPr>
          <w:rFonts w:ascii="Arial Narrow" w:hAnsi="Arial Narrow"/>
          <w:b/>
          <w:sz w:val="24"/>
        </w:rPr>
        <w:t xml:space="preserve">Разница достоверна по сравнению с острым вариантом заболевания: *  -  </w:t>
      </w:r>
      <w:r w:rsidRPr="00E167FC">
        <w:rPr>
          <w:rFonts w:ascii="Arial Narrow" w:hAnsi="Arial Narrow"/>
          <w:b/>
          <w:sz w:val="24"/>
          <w:lang w:val="en-US"/>
        </w:rPr>
        <w:t>p</w:t>
      </w:r>
      <w:r w:rsidRPr="00E167FC">
        <w:rPr>
          <w:rFonts w:ascii="Arial Narrow" w:hAnsi="Arial Narrow"/>
          <w:b/>
          <w:sz w:val="24"/>
        </w:rPr>
        <w:t xml:space="preserve"> &lt; 0,05  ,  </w:t>
      </w:r>
      <w:r w:rsidRPr="00E167FC">
        <w:rPr>
          <w:rFonts w:ascii="Arial Narrow" w:hAnsi="Arial Narrow"/>
          <w:b/>
          <w:sz w:val="24"/>
          <w:vertAlign w:val="superscript"/>
        </w:rPr>
        <w:t xml:space="preserve">** </w:t>
      </w:r>
      <w:r w:rsidRPr="00E167FC">
        <w:rPr>
          <w:rFonts w:ascii="Arial Narrow" w:hAnsi="Arial Narrow"/>
          <w:b/>
          <w:sz w:val="24"/>
        </w:rPr>
        <w:t xml:space="preserve"> -  </w:t>
      </w:r>
      <w:r w:rsidRPr="00E167FC">
        <w:rPr>
          <w:rFonts w:ascii="Arial Narrow" w:hAnsi="Arial Narrow"/>
          <w:b/>
          <w:sz w:val="24"/>
          <w:lang w:val="en-US"/>
        </w:rPr>
        <w:t>p</w:t>
      </w:r>
      <w:r w:rsidRPr="00E167FC">
        <w:rPr>
          <w:rFonts w:ascii="Arial Narrow" w:hAnsi="Arial Narrow"/>
          <w:b/>
          <w:sz w:val="24"/>
        </w:rPr>
        <w:t xml:space="preserve"> &lt; 0,01.</w:t>
      </w:r>
    </w:p>
    <w:p w:rsidR="00C703FE" w:rsidRPr="008E4D05" w:rsidRDefault="00C703FE" w:rsidP="00854815">
      <w:pPr>
        <w:spacing w:before="0"/>
        <w:ind w:left="0" w:righ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Еще одним диагностическим признаком острого ЭАА является повышенное </w:t>
      </w:r>
      <w:r w:rsidRPr="000D15FE">
        <w:rPr>
          <w:rFonts w:ascii="Times New Roman" w:hAnsi="Times New Roman"/>
          <w:sz w:val="28"/>
          <w:szCs w:val="28"/>
          <w:lang w:eastAsia="ru-RU"/>
        </w:rPr>
        <w:t>число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составе МФ </w:t>
      </w:r>
      <w:r w:rsidRPr="000D15FE">
        <w:rPr>
          <w:rFonts w:ascii="Times New Roman" w:hAnsi="Times New Roman"/>
          <w:sz w:val="28"/>
          <w:szCs w:val="28"/>
          <w:lang w:eastAsia="ru-RU"/>
        </w:rPr>
        <w:t xml:space="preserve"> молодых </w:t>
      </w:r>
      <w:proofErr w:type="spellStart"/>
      <w:r w:rsidRPr="000D15FE">
        <w:rPr>
          <w:rFonts w:ascii="Times New Roman" w:hAnsi="Times New Roman"/>
          <w:sz w:val="28"/>
          <w:szCs w:val="28"/>
          <w:lang w:eastAsia="ru-RU"/>
        </w:rPr>
        <w:t>неактивированных</w:t>
      </w:r>
      <w:proofErr w:type="spellEnd"/>
      <w:r w:rsidRPr="000D15F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мононуклеаров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15FE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зрелых АМ (табл.3), в</w:t>
      </w:r>
      <w:r w:rsidRPr="000D15F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D15FE">
        <w:rPr>
          <w:rFonts w:ascii="Times New Roman" w:hAnsi="Times New Roman"/>
          <w:sz w:val="28"/>
          <w:szCs w:val="28"/>
          <w:lang w:eastAsia="ru-RU"/>
        </w:rPr>
        <w:t>фагосомах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которых, методом световой и электронной микроскопии определены </w:t>
      </w:r>
      <w:r w:rsidRPr="000D15FE">
        <w:rPr>
          <w:rFonts w:ascii="Times New Roman" w:hAnsi="Times New Roman"/>
          <w:sz w:val="28"/>
          <w:szCs w:val="28"/>
          <w:lang w:eastAsia="ru-RU"/>
        </w:rPr>
        <w:t>фрагменты ПЯЛ</w:t>
      </w:r>
      <w:r w:rsidRPr="00E96F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0D15FE">
        <w:rPr>
          <w:rFonts w:ascii="Times New Roman" w:hAnsi="Times New Roman"/>
          <w:sz w:val="28"/>
          <w:szCs w:val="28"/>
          <w:lang w:eastAsia="ru-RU"/>
        </w:rPr>
        <w:t>лимфоцитов</w:t>
      </w:r>
      <w:r>
        <w:rPr>
          <w:rFonts w:ascii="Times New Roman" w:hAnsi="Times New Roman"/>
          <w:sz w:val="28"/>
          <w:szCs w:val="28"/>
          <w:lang w:eastAsia="ru-RU"/>
        </w:rPr>
        <w:t xml:space="preserve">. Последние  подвергаются  некрозу (15-17%), тогда как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апоптозные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лимфоциты у этой группы составляют только 2-8%. </w:t>
      </w:r>
    </w:p>
    <w:p w:rsidR="00C703FE" w:rsidRPr="00E167FC" w:rsidRDefault="00C703FE" w:rsidP="00854815">
      <w:pPr>
        <w:pStyle w:val="22"/>
        <w:spacing w:before="0"/>
        <w:ind w:left="0" w:right="0" w:firstLine="0"/>
        <w:jc w:val="left"/>
        <w:outlineLvl w:val="0"/>
        <w:rPr>
          <w:rFonts w:ascii="Times New Roman" w:hAnsi="Times New Roman"/>
          <w:sz w:val="24"/>
          <w:szCs w:val="28"/>
          <w:lang w:eastAsia="ru-RU"/>
        </w:rPr>
      </w:pPr>
      <w:bookmarkStart w:id="0" w:name="_Toc351765694"/>
      <w:bookmarkStart w:id="1" w:name="_Toc351765845"/>
      <w:bookmarkStart w:id="2" w:name="_Toc351840064"/>
      <w:r w:rsidRPr="00E167FC">
        <w:rPr>
          <w:rFonts w:ascii="Times New Roman" w:hAnsi="Times New Roman"/>
          <w:b/>
          <w:sz w:val="24"/>
          <w:szCs w:val="28"/>
          <w:lang w:eastAsia="ru-RU"/>
        </w:rPr>
        <w:t>Таблица 3.</w:t>
      </w:r>
      <w:r w:rsidRPr="00E167FC">
        <w:rPr>
          <w:rFonts w:ascii="Times New Roman" w:hAnsi="Times New Roman"/>
          <w:sz w:val="24"/>
          <w:szCs w:val="28"/>
          <w:lang w:eastAsia="ru-RU"/>
        </w:rPr>
        <w:t xml:space="preserve"> Особенности макрофагальной формулы БАЛ при разном течении ЭАА</w:t>
      </w:r>
      <w:bookmarkEnd w:id="0"/>
      <w:bookmarkEnd w:id="1"/>
      <w:bookmarkEnd w:id="2"/>
      <w:r w:rsidRPr="00E167FC">
        <w:rPr>
          <w:rFonts w:ascii="Times New Roman" w:hAnsi="Times New Roman"/>
          <w:sz w:val="24"/>
          <w:szCs w:val="28"/>
          <w:lang w:eastAsia="ru-RU"/>
        </w:rPr>
        <w:t>.</w:t>
      </w:r>
    </w:p>
    <w:tbl>
      <w:tblPr>
        <w:tblW w:w="926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86"/>
        <w:gridCol w:w="1428"/>
        <w:gridCol w:w="1390"/>
        <w:gridCol w:w="1417"/>
        <w:gridCol w:w="1193"/>
        <w:gridCol w:w="1549"/>
      </w:tblGrid>
      <w:tr w:rsidR="00C703FE" w:rsidRPr="00DB7FBE" w:rsidTr="00854815">
        <w:trPr>
          <w:cantSplit/>
          <w:trHeight w:val="209"/>
        </w:trPr>
        <w:tc>
          <w:tcPr>
            <w:tcW w:w="2286" w:type="dxa"/>
            <w:vMerge w:val="restart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группы наблюдения</w:t>
            </w:r>
          </w:p>
        </w:tc>
        <w:tc>
          <w:tcPr>
            <w:tcW w:w="6977" w:type="dxa"/>
            <w:gridSpan w:val="5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Различные фенотипы макрофагов, % (М±</w:t>
            </w:r>
            <w:r w:rsidRPr="00DB7FBE">
              <w:rPr>
                <w:rFonts w:ascii="Arial Narrow" w:hAnsi="Arial Narrow"/>
                <w:sz w:val="24"/>
                <w:lang w:val="en-US"/>
              </w:rPr>
              <w:t>m</w:t>
            </w:r>
            <w:r w:rsidRPr="00DB7FBE">
              <w:rPr>
                <w:rFonts w:ascii="Arial Narrow" w:hAnsi="Arial Narrow"/>
                <w:sz w:val="24"/>
              </w:rPr>
              <w:t>)</w:t>
            </w:r>
          </w:p>
        </w:tc>
      </w:tr>
      <w:tr w:rsidR="00C703FE" w:rsidRPr="00DB7FBE" w:rsidTr="00854815">
        <w:trPr>
          <w:cantSplit/>
          <w:trHeight w:val="209"/>
        </w:trPr>
        <w:tc>
          <w:tcPr>
            <w:tcW w:w="2286" w:type="dxa"/>
            <w:vMerge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</w:p>
        </w:tc>
        <w:tc>
          <w:tcPr>
            <w:tcW w:w="2818" w:type="dxa"/>
            <w:gridSpan w:val="2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молодые макрофаги</w:t>
            </w:r>
          </w:p>
        </w:tc>
        <w:tc>
          <w:tcPr>
            <w:tcW w:w="4159" w:type="dxa"/>
            <w:gridSpan w:val="3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зрелые макрофаги</w:t>
            </w:r>
          </w:p>
        </w:tc>
      </w:tr>
      <w:tr w:rsidR="00C703FE" w:rsidRPr="00DB7FBE" w:rsidTr="00854815">
        <w:trPr>
          <w:cantSplit/>
          <w:trHeight w:val="209"/>
        </w:trPr>
        <w:tc>
          <w:tcPr>
            <w:tcW w:w="2286" w:type="dxa"/>
            <w:vMerge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</w:p>
        </w:tc>
        <w:tc>
          <w:tcPr>
            <w:tcW w:w="1428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proofErr w:type="spellStart"/>
            <w:r w:rsidRPr="00DB7FBE">
              <w:rPr>
                <w:rFonts w:ascii="Arial Narrow" w:hAnsi="Arial Narrow"/>
                <w:sz w:val="24"/>
              </w:rPr>
              <w:t>неактиви-рованные</w:t>
            </w:r>
            <w:proofErr w:type="spellEnd"/>
          </w:p>
        </w:tc>
        <w:tc>
          <w:tcPr>
            <w:tcW w:w="1390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proofErr w:type="spellStart"/>
            <w:proofErr w:type="gramStart"/>
            <w:r w:rsidRPr="00DB7FBE">
              <w:rPr>
                <w:rFonts w:ascii="Arial Narrow" w:hAnsi="Arial Narrow"/>
                <w:sz w:val="24"/>
              </w:rPr>
              <w:t>активиро-ванные</w:t>
            </w:r>
            <w:proofErr w:type="spellEnd"/>
            <w:proofErr w:type="gramEnd"/>
          </w:p>
        </w:tc>
        <w:tc>
          <w:tcPr>
            <w:tcW w:w="1417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proofErr w:type="spellStart"/>
            <w:r w:rsidRPr="00DB7FBE">
              <w:rPr>
                <w:rFonts w:ascii="Arial Narrow" w:hAnsi="Arial Narrow"/>
                <w:sz w:val="24"/>
              </w:rPr>
              <w:t>фагоцити-рующие</w:t>
            </w:r>
            <w:proofErr w:type="spellEnd"/>
          </w:p>
        </w:tc>
        <w:tc>
          <w:tcPr>
            <w:tcW w:w="119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proofErr w:type="spellStart"/>
            <w:proofErr w:type="gramStart"/>
            <w:r w:rsidRPr="00DB7FBE">
              <w:rPr>
                <w:rFonts w:ascii="Arial Narrow" w:hAnsi="Arial Narrow"/>
                <w:sz w:val="24"/>
              </w:rPr>
              <w:t>секрети-рующие</w:t>
            </w:r>
            <w:proofErr w:type="spellEnd"/>
            <w:proofErr w:type="gramEnd"/>
          </w:p>
        </w:tc>
        <w:tc>
          <w:tcPr>
            <w:tcW w:w="1549" w:type="dxa"/>
            <w:noWrap/>
            <w:vAlign w:val="center"/>
          </w:tcPr>
          <w:p w:rsidR="00C703FE" w:rsidRPr="00DB7FBE" w:rsidRDefault="00C703FE" w:rsidP="00854815">
            <w:pPr>
              <w:keepNext/>
              <w:keepLines/>
              <w:spacing w:line="240" w:lineRule="auto"/>
              <w:ind w:left="0" w:right="-1" w:hanging="86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со смешанной функцией</w:t>
            </w:r>
          </w:p>
        </w:tc>
      </w:tr>
      <w:tr w:rsidR="00C703FE" w:rsidRPr="00DB7FBE" w:rsidTr="00854815">
        <w:trPr>
          <w:trHeight w:val="802"/>
        </w:trPr>
        <w:tc>
          <w:tcPr>
            <w:tcW w:w="2286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 xml:space="preserve">Гр. сравнения (контроль) </w:t>
            </w:r>
            <w:r w:rsidRPr="00DB7FBE">
              <w:rPr>
                <w:rFonts w:ascii="Arial Narrow" w:hAnsi="Arial Narrow"/>
                <w:sz w:val="24"/>
                <w:lang w:val="en-US"/>
              </w:rPr>
              <w:t>n</w:t>
            </w:r>
            <w:r w:rsidRPr="00DB7FBE">
              <w:rPr>
                <w:rFonts w:ascii="Arial Narrow" w:hAnsi="Arial Narrow"/>
                <w:sz w:val="24"/>
              </w:rPr>
              <w:t>=8</w:t>
            </w:r>
          </w:p>
        </w:tc>
        <w:tc>
          <w:tcPr>
            <w:tcW w:w="1428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21,90±1,04</w:t>
            </w:r>
          </w:p>
        </w:tc>
        <w:tc>
          <w:tcPr>
            <w:tcW w:w="1390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15,00±0,97</w:t>
            </w:r>
          </w:p>
        </w:tc>
        <w:tc>
          <w:tcPr>
            <w:tcW w:w="1417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38,80±1,16</w:t>
            </w:r>
          </w:p>
        </w:tc>
        <w:tc>
          <w:tcPr>
            <w:tcW w:w="119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3,30±0,15</w:t>
            </w:r>
          </w:p>
        </w:tc>
        <w:tc>
          <w:tcPr>
            <w:tcW w:w="1549" w:type="dxa"/>
            <w:noWrap/>
            <w:vAlign w:val="center"/>
          </w:tcPr>
          <w:p w:rsidR="00C703FE" w:rsidRPr="00DB7FBE" w:rsidRDefault="00C703FE" w:rsidP="00854815">
            <w:pPr>
              <w:keepNext/>
              <w:keepLines/>
              <w:spacing w:line="240" w:lineRule="auto"/>
              <w:ind w:left="0" w:right="-1" w:hanging="86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21,00±1,12</w:t>
            </w:r>
          </w:p>
        </w:tc>
      </w:tr>
      <w:tr w:rsidR="00C703FE" w:rsidRPr="00DB7FBE" w:rsidTr="00854815">
        <w:trPr>
          <w:trHeight w:val="20"/>
        </w:trPr>
        <w:tc>
          <w:tcPr>
            <w:tcW w:w="2286" w:type="dxa"/>
            <w:noWrap/>
            <w:vAlign w:val="center"/>
          </w:tcPr>
          <w:p w:rsidR="00C703FE" w:rsidRPr="00DB7FBE" w:rsidRDefault="00C703FE" w:rsidP="00854815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 xml:space="preserve">острый </w:t>
            </w:r>
            <w:r w:rsidRPr="00DB7FBE">
              <w:rPr>
                <w:rFonts w:ascii="Arial Narrow" w:hAnsi="Arial Narrow"/>
                <w:sz w:val="24"/>
                <w:lang w:val="en-US"/>
              </w:rPr>
              <w:t>n</w:t>
            </w:r>
            <w:r w:rsidRPr="00DB7FBE">
              <w:rPr>
                <w:rFonts w:ascii="Arial Narrow" w:hAnsi="Arial Narrow"/>
                <w:sz w:val="24"/>
              </w:rPr>
              <w:t>=19</w:t>
            </w:r>
          </w:p>
        </w:tc>
        <w:tc>
          <w:tcPr>
            <w:tcW w:w="1428" w:type="dxa"/>
            <w:noWrap/>
            <w:vAlign w:val="center"/>
          </w:tcPr>
          <w:p w:rsidR="00C703FE" w:rsidRPr="00854815" w:rsidRDefault="00C703FE" w:rsidP="00854815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b/>
                <w:sz w:val="24"/>
                <w:vertAlign w:val="superscript"/>
              </w:rPr>
            </w:pPr>
            <w:r w:rsidRPr="00DB7FBE">
              <w:rPr>
                <w:rFonts w:ascii="Arial Narrow" w:hAnsi="Arial Narrow"/>
                <w:b/>
                <w:sz w:val="24"/>
              </w:rPr>
              <w:t>31,81±3,08</w:t>
            </w:r>
            <w:r w:rsidRPr="00DB7FBE">
              <w:rPr>
                <w:rFonts w:ascii="Arial Narrow" w:hAnsi="Arial Narrow"/>
                <w:b/>
                <w:sz w:val="24"/>
                <w:vertAlign w:val="superscript"/>
              </w:rPr>
              <w:t>**</w:t>
            </w:r>
          </w:p>
        </w:tc>
        <w:tc>
          <w:tcPr>
            <w:tcW w:w="1390" w:type="dxa"/>
            <w:noWrap/>
            <w:vAlign w:val="center"/>
          </w:tcPr>
          <w:p w:rsidR="00C703FE" w:rsidRPr="00DB7FBE" w:rsidRDefault="00C703FE" w:rsidP="00854815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  <w:vertAlign w:val="superscript"/>
              </w:rPr>
            </w:pPr>
            <w:r w:rsidRPr="00DB7FBE">
              <w:rPr>
                <w:rFonts w:ascii="Arial Narrow" w:hAnsi="Arial Narrow"/>
                <w:sz w:val="24"/>
              </w:rPr>
              <w:t>12,03±1,05</w:t>
            </w:r>
          </w:p>
        </w:tc>
        <w:tc>
          <w:tcPr>
            <w:tcW w:w="1417" w:type="dxa"/>
            <w:noWrap/>
            <w:vAlign w:val="center"/>
          </w:tcPr>
          <w:p w:rsidR="00C703FE" w:rsidRPr="00854815" w:rsidRDefault="00C703FE" w:rsidP="00854815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  <w:vertAlign w:val="superscript"/>
              </w:rPr>
            </w:pPr>
            <w:r w:rsidRPr="00DB7FBE">
              <w:rPr>
                <w:rFonts w:ascii="Arial Narrow" w:hAnsi="Arial Narrow"/>
                <w:sz w:val="24"/>
              </w:rPr>
              <w:t>47,71±2,17</w:t>
            </w:r>
            <w:r w:rsidRPr="00DB7FBE">
              <w:rPr>
                <w:rFonts w:ascii="Arial Narrow" w:hAnsi="Arial Narrow"/>
                <w:sz w:val="24"/>
                <w:vertAlign w:val="superscript"/>
              </w:rPr>
              <w:t>*</w:t>
            </w:r>
          </w:p>
        </w:tc>
        <w:tc>
          <w:tcPr>
            <w:tcW w:w="1193" w:type="dxa"/>
            <w:noWrap/>
            <w:vAlign w:val="center"/>
          </w:tcPr>
          <w:p w:rsidR="00C703FE" w:rsidRPr="00DB7FBE" w:rsidRDefault="00C703FE" w:rsidP="00854815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5,01±0,91</w:t>
            </w:r>
          </w:p>
        </w:tc>
        <w:tc>
          <w:tcPr>
            <w:tcW w:w="1549" w:type="dxa"/>
            <w:noWrap/>
            <w:vAlign w:val="center"/>
          </w:tcPr>
          <w:p w:rsidR="00C703FE" w:rsidRPr="00DB7FBE" w:rsidRDefault="00C703FE" w:rsidP="00854815">
            <w:pPr>
              <w:keepNext/>
              <w:keepLines/>
              <w:spacing w:line="240" w:lineRule="auto"/>
              <w:ind w:left="0" w:right="-1" w:hanging="86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3,01±1,13</w:t>
            </w:r>
          </w:p>
        </w:tc>
      </w:tr>
      <w:tr w:rsidR="00C703FE" w:rsidRPr="00DB7FBE" w:rsidTr="00854815">
        <w:trPr>
          <w:trHeight w:val="20"/>
        </w:trPr>
        <w:tc>
          <w:tcPr>
            <w:tcW w:w="2286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  <w:lang w:val="en-US"/>
              </w:rPr>
            </w:pPr>
            <w:proofErr w:type="spellStart"/>
            <w:r w:rsidRPr="00DB7FBE">
              <w:rPr>
                <w:rFonts w:ascii="Arial Narrow" w:hAnsi="Arial Narrow"/>
                <w:sz w:val="24"/>
              </w:rPr>
              <w:t>подострый</w:t>
            </w:r>
            <w:proofErr w:type="spellEnd"/>
            <w:r w:rsidRPr="00DB7FBE">
              <w:rPr>
                <w:rFonts w:ascii="Arial Narrow" w:hAnsi="Arial Narrow"/>
                <w:sz w:val="24"/>
                <w:lang w:val="en-US"/>
              </w:rPr>
              <w:t xml:space="preserve"> n=</w:t>
            </w:r>
            <w:r w:rsidRPr="00DB7FBE">
              <w:rPr>
                <w:rFonts w:ascii="Arial Narrow" w:hAnsi="Arial Narrow"/>
                <w:sz w:val="24"/>
              </w:rPr>
              <w:t>2</w:t>
            </w:r>
            <w:r w:rsidRPr="00DB7FBE">
              <w:rPr>
                <w:rFonts w:ascii="Arial Narrow" w:hAnsi="Arial Narrow"/>
                <w:sz w:val="24"/>
                <w:lang w:val="en-US"/>
              </w:rPr>
              <w:t>8</w:t>
            </w:r>
          </w:p>
        </w:tc>
        <w:tc>
          <w:tcPr>
            <w:tcW w:w="1428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  <w:vertAlign w:val="superscript"/>
              </w:rPr>
            </w:pPr>
            <w:r w:rsidRPr="00DB7FBE">
              <w:rPr>
                <w:rFonts w:ascii="Arial Narrow" w:hAnsi="Arial Narrow"/>
                <w:sz w:val="24"/>
              </w:rPr>
              <w:t>12,71±2,11</w:t>
            </w:r>
            <w:r w:rsidRPr="00DB7FBE">
              <w:rPr>
                <w:rFonts w:ascii="Arial Narrow" w:hAnsi="Arial Narrow"/>
                <w:sz w:val="24"/>
                <w:vertAlign w:val="superscript"/>
              </w:rPr>
              <w:t>*</w:t>
            </w:r>
          </w:p>
        </w:tc>
        <w:tc>
          <w:tcPr>
            <w:tcW w:w="1390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  <w:vertAlign w:val="superscript"/>
              </w:rPr>
            </w:pPr>
            <w:r w:rsidRPr="00DB7FBE">
              <w:rPr>
                <w:rFonts w:ascii="Arial Narrow" w:hAnsi="Arial Narrow"/>
                <w:sz w:val="24"/>
              </w:rPr>
              <w:t>19,18±2,17</w:t>
            </w:r>
            <w:r w:rsidRPr="00DB7FBE">
              <w:rPr>
                <w:rFonts w:ascii="Arial Narrow" w:hAnsi="Arial Narrow"/>
                <w:sz w:val="24"/>
                <w:vertAlign w:val="superscript"/>
              </w:rPr>
              <w:t>*</w:t>
            </w:r>
          </w:p>
        </w:tc>
        <w:tc>
          <w:tcPr>
            <w:tcW w:w="1417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b/>
                <w:sz w:val="24"/>
              </w:rPr>
            </w:pPr>
            <w:r w:rsidRPr="00DB7FBE">
              <w:rPr>
                <w:rFonts w:ascii="Arial Narrow" w:hAnsi="Arial Narrow"/>
                <w:b/>
                <w:sz w:val="24"/>
              </w:rPr>
              <w:t>66,05±3,82</w:t>
            </w:r>
            <w:r w:rsidRPr="00DB7FBE">
              <w:rPr>
                <w:rFonts w:ascii="Arial Narrow" w:hAnsi="Arial Narrow"/>
                <w:b/>
                <w:sz w:val="24"/>
                <w:vertAlign w:val="superscript"/>
              </w:rPr>
              <w:t>**</w:t>
            </w:r>
          </w:p>
        </w:tc>
        <w:tc>
          <w:tcPr>
            <w:tcW w:w="119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4,29±1,25</w:t>
            </w:r>
          </w:p>
        </w:tc>
        <w:tc>
          <w:tcPr>
            <w:tcW w:w="1549" w:type="dxa"/>
            <w:noWrap/>
            <w:vAlign w:val="center"/>
          </w:tcPr>
          <w:p w:rsidR="00C703FE" w:rsidRPr="00DB7FBE" w:rsidRDefault="00C703FE" w:rsidP="00854815">
            <w:pPr>
              <w:keepNext/>
              <w:keepLines/>
              <w:spacing w:line="240" w:lineRule="auto"/>
              <w:ind w:left="0" w:right="-1" w:hanging="86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7,81±2,12</w:t>
            </w:r>
          </w:p>
        </w:tc>
      </w:tr>
      <w:tr w:rsidR="00C703FE" w:rsidRPr="00DB7FBE" w:rsidTr="00854815">
        <w:trPr>
          <w:trHeight w:val="20"/>
        </w:trPr>
        <w:tc>
          <w:tcPr>
            <w:tcW w:w="2286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 xml:space="preserve">хронический </w:t>
            </w:r>
            <w:r w:rsidRPr="00DB7FBE">
              <w:rPr>
                <w:rFonts w:ascii="Arial Narrow" w:hAnsi="Arial Narrow"/>
                <w:sz w:val="24"/>
                <w:lang w:val="en-US"/>
              </w:rPr>
              <w:t>n=</w:t>
            </w:r>
            <w:r w:rsidRPr="00DB7FBE">
              <w:rPr>
                <w:rFonts w:ascii="Arial Narrow" w:hAnsi="Arial Narrow"/>
                <w:sz w:val="24"/>
              </w:rPr>
              <w:t>22</w:t>
            </w:r>
          </w:p>
        </w:tc>
        <w:tc>
          <w:tcPr>
            <w:tcW w:w="1428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19,81±4,05</w:t>
            </w:r>
          </w:p>
        </w:tc>
        <w:tc>
          <w:tcPr>
            <w:tcW w:w="1390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12,97±4,05</w:t>
            </w:r>
          </w:p>
        </w:tc>
        <w:tc>
          <w:tcPr>
            <w:tcW w:w="1417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b/>
                <w:sz w:val="24"/>
              </w:rPr>
            </w:pPr>
            <w:r w:rsidRPr="00DB7FBE">
              <w:rPr>
                <w:rFonts w:ascii="Arial Narrow" w:hAnsi="Arial Narrow"/>
                <w:b/>
                <w:sz w:val="24"/>
              </w:rPr>
              <w:t>53,43±2,08</w:t>
            </w:r>
            <w:r w:rsidRPr="00DB7FBE">
              <w:rPr>
                <w:rFonts w:ascii="Arial Narrow" w:hAnsi="Arial Narrow"/>
                <w:b/>
                <w:sz w:val="24"/>
                <w:vertAlign w:val="superscript"/>
              </w:rPr>
              <w:t>**</w:t>
            </w:r>
          </w:p>
        </w:tc>
        <w:tc>
          <w:tcPr>
            <w:tcW w:w="119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6,37±2,97</w:t>
            </w:r>
          </w:p>
        </w:tc>
        <w:tc>
          <w:tcPr>
            <w:tcW w:w="1549" w:type="dxa"/>
            <w:noWrap/>
            <w:vAlign w:val="center"/>
          </w:tcPr>
          <w:p w:rsidR="00C703FE" w:rsidRPr="00DB7FBE" w:rsidRDefault="00C703FE" w:rsidP="00854815">
            <w:pPr>
              <w:keepNext/>
              <w:keepLines/>
              <w:spacing w:line="240" w:lineRule="auto"/>
              <w:ind w:left="0" w:right="-1" w:hanging="86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9,70±2,31</w:t>
            </w:r>
          </w:p>
        </w:tc>
      </w:tr>
      <w:tr w:rsidR="00C703FE" w:rsidRPr="00DB7FBE" w:rsidTr="00854815">
        <w:trPr>
          <w:trHeight w:val="20"/>
        </w:trPr>
        <w:tc>
          <w:tcPr>
            <w:tcW w:w="2286" w:type="dxa"/>
            <w:noWrap/>
            <w:vAlign w:val="center"/>
          </w:tcPr>
          <w:p w:rsidR="00C703FE" w:rsidRPr="00DB7FBE" w:rsidRDefault="00C703FE" w:rsidP="00E8353E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  <w:lang w:val="en-US"/>
              </w:rPr>
            </w:pPr>
            <w:r w:rsidRPr="00DB7FBE">
              <w:rPr>
                <w:rFonts w:ascii="Arial Narrow" w:hAnsi="Arial Narrow"/>
                <w:sz w:val="24"/>
              </w:rPr>
              <w:t xml:space="preserve">рецидивирующий </w:t>
            </w:r>
            <w:r w:rsidRPr="00DB7FBE">
              <w:rPr>
                <w:rFonts w:ascii="Arial Narrow" w:hAnsi="Arial Narrow"/>
                <w:sz w:val="24"/>
                <w:lang w:val="en-US"/>
              </w:rPr>
              <w:t>n</w:t>
            </w:r>
            <w:r w:rsidRPr="00DB7FBE">
              <w:rPr>
                <w:rFonts w:ascii="Arial Narrow" w:hAnsi="Arial Narrow"/>
                <w:sz w:val="24"/>
              </w:rPr>
              <w:t>=</w:t>
            </w:r>
            <w:r w:rsidRPr="00DB7FBE">
              <w:rPr>
                <w:rFonts w:ascii="Arial Narrow" w:hAnsi="Arial Narrow"/>
                <w:sz w:val="24"/>
                <w:lang w:val="en-US"/>
              </w:rPr>
              <w:t>8</w:t>
            </w:r>
          </w:p>
        </w:tc>
        <w:tc>
          <w:tcPr>
            <w:tcW w:w="1428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25,81±5,09</w:t>
            </w:r>
          </w:p>
        </w:tc>
        <w:tc>
          <w:tcPr>
            <w:tcW w:w="1390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13,03±7,79</w:t>
            </w:r>
          </w:p>
        </w:tc>
        <w:tc>
          <w:tcPr>
            <w:tcW w:w="1417" w:type="dxa"/>
            <w:noWrap/>
            <w:vAlign w:val="center"/>
          </w:tcPr>
          <w:p w:rsidR="00C703FE" w:rsidRPr="00EB6B79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EB6B79">
              <w:rPr>
                <w:rFonts w:ascii="Arial Narrow" w:hAnsi="Arial Narrow"/>
                <w:sz w:val="24"/>
              </w:rPr>
              <w:t>49,81±5,09</w:t>
            </w:r>
            <w:r w:rsidRPr="00EB6B79">
              <w:rPr>
                <w:rFonts w:ascii="Arial Narrow" w:hAnsi="Arial Narrow"/>
                <w:i/>
                <w:sz w:val="28"/>
              </w:rPr>
              <w:t>*</w:t>
            </w:r>
          </w:p>
        </w:tc>
        <w:tc>
          <w:tcPr>
            <w:tcW w:w="1193" w:type="dxa"/>
            <w:noWrap/>
            <w:vAlign w:val="center"/>
          </w:tcPr>
          <w:p w:rsidR="00C703FE" w:rsidRPr="00DB7FBE" w:rsidRDefault="00C703FE" w:rsidP="00E167FC">
            <w:pPr>
              <w:keepNext/>
              <w:keepLines/>
              <w:spacing w:line="240" w:lineRule="auto"/>
              <w:ind w:left="0" w:right="-1" w:firstLine="34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4,51±1,91</w:t>
            </w:r>
          </w:p>
        </w:tc>
        <w:tc>
          <w:tcPr>
            <w:tcW w:w="1549" w:type="dxa"/>
            <w:noWrap/>
            <w:vAlign w:val="center"/>
          </w:tcPr>
          <w:p w:rsidR="00C703FE" w:rsidRPr="00DB7FBE" w:rsidRDefault="00C703FE" w:rsidP="00854815">
            <w:pPr>
              <w:keepNext/>
              <w:keepLines/>
              <w:spacing w:line="240" w:lineRule="auto"/>
              <w:ind w:left="0" w:right="-1" w:hanging="86"/>
              <w:rPr>
                <w:rFonts w:ascii="Arial Narrow" w:hAnsi="Arial Narrow"/>
                <w:sz w:val="24"/>
              </w:rPr>
            </w:pPr>
            <w:r w:rsidRPr="00DB7FBE">
              <w:rPr>
                <w:rFonts w:ascii="Arial Narrow" w:hAnsi="Arial Narrow"/>
                <w:sz w:val="24"/>
              </w:rPr>
              <w:t>7,81±5,91</w:t>
            </w:r>
          </w:p>
        </w:tc>
      </w:tr>
    </w:tbl>
    <w:p w:rsidR="00C703FE" w:rsidRPr="00E167FC" w:rsidRDefault="00C703FE" w:rsidP="00E167FC">
      <w:pPr>
        <w:ind w:left="0" w:right="-1" w:firstLine="0"/>
        <w:jc w:val="both"/>
        <w:rPr>
          <w:rFonts w:ascii="Arial Narrow" w:hAnsi="Arial Narrow"/>
          <w:b/>
          <w:i/>
          <w:sz w:val="28"/>
        </w:rPr>
      </w:pPr>
      <w:r w:rsidRPr="00E167FC">
        <w:rPr>
          <w:rFonts w:ascii="Arial Narrow" w:hAnsi="Arial Narrow"/>
          <w:b/>
          <w:i/>
          <w:sz w:val="28"/>
        </w:rPr>
        <w:t xml:space="preserve">Разница достоверна по сравнению с контролем:  *  -  </w:t>
      </w:r>
      <w:r w:rsidRPr="00E167FC">
        <w:rPr>
          <w:rFonts w:ascii="Arial Narrow" w:hAnsi="Arial Narrow"/>
          <w:b/>
          <w:i/>
          <w:sz w:val="28"/>
          <w:lang w:val="en-US"/>
        </w:rPr>
        <w:t>p</w:t>
      </w:r>
      <w:r w:rsidRPr="00E167FC">
        <w:rPr>
          <w:rFonts w:ascii="Arial Narrow" w:hAnsi="Arial Narrow"/>
          <w:b/>
          <w:i/>
          <w:sz w:val="28"/>
        </w:rPr>
        <w:t xml:space="preserve"> &lt; 0,05  ,  </w:t>
      </w:r>
      <w:r w:rsidRPr="00E167FC">
        <w:rPr>
          <w:rFonts w:ascii="Arial Narrow" w:hAnsi="Arial Narrow"/>
          <w:b/>
          <w:i/>
          <w:sz w:val="28"/>
          <w:vertAlign w:val="superscript"/>
        </w:rPr>
        <w:t xml:space="preserve">** </w:t>
      </w:r>
      <w:r w:rsidRPr="00E167FC">
        <w:rPr>
          <w:rFonts w:ascii="Arial Narrow" w:hAnsi="Arial Narrow"/>
          <w:b/>
          <w:i/>
          <w:sz w:val="28"/>
        </w:rPr>
        <w:t xml:space="preserve"> -  </w:t>
      </w:r>
      <w:r w:rsidRPr="00E167FC">
        <w:rPr>
          <w:rFonts w:ascii="Arial Narrow" w:hAnsi="Arial Narrow"/>
          <w:b/>
          <w:i/>
          <w:sz w:val="28"/>
          <w:lang w:val="en-US"/>
        </w:rPr>
        <w:t>p</w:t>
      </w:r>
      <w:r w:rsidRPr="00E167FC">
        <w:rPr>
          <w:rFonts w:ascii="Arial Narrow" w:hAnsi="Arial Narrow"/>
          <w:b/>
          <w:i/>
          <w:sz w:val="28"/>
        </w:rPr>
        <w:t xml:space="preserve"> &lt; 0,01.</w:t>
      </w:r>
    </w:p>
    <w:p w:rsidR="00C703FE" w:rsidRDefault="00C703FE" w:rsidP="00C66A52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D28D2">
        <w:rPr>
          <w:rFonts w:ascii="Times New Roman" w:hAnsi="Times New Roman"/>
          <w:b/>
          <w:sz w:val="28"/>
          <w:szCs w:val="28"/>
          <w:lang w:eastAsia="ru-RU"/>
        </w:rPr>
        <w:t>Подострый</w:t>
      </w:r>
      <w:proofErr w:type="spellEnd"/>
      <w:r w:rsidRPr="00BD28D2">
        <w:rPr>
          <w:rFonts w:ascii="Times New Roman" w:hAnsi="Times New Roman"/>
          <w:b/>
          <w:sz w:val="28"/>
          <w:szCs w:val="28"/>
          <w:lang w:eastAsia="ru-RU"/>
        </w:rPr>
        <w:t xml:space="preserve"> вариант </w:t>
      </w:r>
      <w:r>
        <w:rPr>
          <w:rFonts w:ascii="Times New Roman" w:hAnsi="Times New Roman"/>
          <w:sz w:val="28"/>
          <w:szCs w:val="28"/>
          <w:lang w:eastAsia="ru-RU"/>
        </w:rPr>
        <w:t>диагностирован у 43 (41%) больных ЭАА,</w:t>
      </w:r>
      <w:r w:rsidRPr="00E632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AC1">
        <w:rPr>
          <w:rFonts w:ascii="Times New Roman" w:hAnsi="Times New Roman"/>
          <w:sz w:val="28"/>
          <w:szCs w:val="28"/>
          <w:lang w:eastAsia="ru-RU"/>
        </w:rPr>
        <w:t>14 мужчин и  29 женщин в возрасте от 22 до 73 ле</w:t>
      </w:r>
      <w:r>
        <w:rPr>
          <w:rFonts w:ascii="Times New Roman" w:hAnsi="Times New Roman"/>
          <w:sz w:val="28"/>
          <w:szCs w:val="28"/>
          <w:lang w:eastAsia="ru-RU"/>
        </w:rPr>
        <w:t>т (средний возраст 49,0±2,0).  Д</w:t>
      </w:r>
      <w:r w:rsidRPr="00AF3AC1">
        <w:rPr>
          <w:rFonts w:ascii="Times New Roman" w:hAnsi="Times New Roman"/>
          <w:sz w:val="28"/>
          <w:szCs w:val="28"/>
          <w:lang w:eastAsia="ru-RU"/>
        </w:rPr>
        <w:t>лительность заболевания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колеблется </w:t>
      </w:r>
      <w:r w:rsidRPr="00AF3AC1">
        <w:rPr>
          <w:rFonts w:ascii="Times New Roman" w:hAnsi="Times New Roman"/>
          <w:sz w:val="28"/>
          <w:szCs w:val="28"/>
          <w:lang w:eastAsia="ru-RU"/>
        </w:rPr>
        <w:t>от 1 месяца до 1 года.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большинстве </w:t>
      </w:r>
      <w:r w:rsidRPr="00AF3AC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случаев (72,1%)   больные с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данным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вариантом </w:t>
      </w:r>
      <w:r>
        <w:rPr>
          <w:rFonts w:ascii="Times New Roman" w:hAnsi="Times New Roman"/>
          <w:sz w:val="28"/>
          <w:szCs w:val="28"/>
          <w:lang w:eastAsia="ru-RU"/>
        </w:rPr>
        <w:t>заболевания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имели контакт с алле</w:t>
      </w:r>
      <w:r>
        <w:rPr>
          <w:rFonts w:ascii="Times New Roman" w:hAnsi="Times New Roman"/>
          <w:sz w:val="28"/>
          <w:szCs w:val="28"/>
          <w:lang w:eastAsia="ru-RU"/>
        </w:rPr>
        <w:t xml:space="preserve">ргенами животного происхождения.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В клинической картине </w:t>
      </w:r>
      <w:r>
        <w:rPr>
          <w:rFonts w:ascii="Times New Roman" w:hAnsi="Times New Roman"/>
          <w:sz w:val="28"/>
          <w:szCs w:val="28"/>
          <w:lang w:eastAsia="ru-RU"/>
        </w:rPr>
        <w:t xml:space="preserve"> доминировали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сухой кашель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и одышка, которая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регистрировалась у </w:t>
      </w:r>
      <w:r w:rsidRPr="00AF3AC1">
        <w:rPr>
          <w:rFonts w:ascii="Times New Roman" w:hAnsi="Times New Roman"/>
          <w:sz w:val="28"/>
          <w:szCs w:val="28"/>
          <w:lang w:eastAsia="ru-RU"/>
        </w:rPr>
        <w:t>81,4%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больных и документировалась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2 степенью </w:t>
      </w:r>
      <w:r>
        <w:rPr>
          <w:rFonts w:ascii="Times New Roman" w:hAnsi="Times New Roman"/>
          <w:sz w:val="28"/>
          <w:szCs w:val="28"/>
          <w:lang w:eastAsia="ru-RU"/>
        </w:rPr>
        <w:t>более чем у половины пациентов. Ж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алоб на наличие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признаков интоксикации у пациентов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подострым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течением заболевания, в отличие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острого, зафиксировано не было.</w:t>
      </w:r>
      <w:r w:rsidRPr="00CD141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03FE" w:rsidRDefault="00C703FE" w:rsidP="00854815">
      <w:pPr>
        <w:spacing w:before="0"/>
        <w:ind w:left="0" w:righ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 29,4%  больных в крови  отмечено   повышение уровня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IgG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а у 64,7%  значения</w:t>
      </w:r>
      <w:r w:rsidRPr="00B13E4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IgA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Преципитирующие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антитела к шерсти различных животных, перьям и экскрементам птиц определены  менее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чем у трети больных (27,9%),  при этом уровень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сенсебилизации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как правило, имел средние значения (1:4). Примечательно, что эти данные зачастую не совпадали 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анамнестическими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В гемограмме наблюдалась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ускоренная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СОЭ почти у половины больных (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48,8%), </w:t>
      </w:r>
      <w:r>
        <w:rPr>
          <w:rFonts w:ascii="Times New Roman" w:hAnsi="Times New Roman"/>
          <w:sz w:val="28"/>
          <w:szCs w:val="28"/>
          <w:lang w:eastAsia="ru-RU"/>
        </w:rPr>
        <w:t xml:space="preserve"> реже - у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величение общего количества лейкоцитов </w:t>
      </w:r>
      <w:r>
        <w:rPr>
          <w:rFonts w:ascii="Times New Roman" w:hAnsi="Times New Roman"/>
          <w:sz w:val="28"/>
          <w:szCs w:val="28"/>
          <w:lang w:eastAsia="ru-RU"/>
        </w:rPr>
        <w:t xml:space="preserve"> (в 25,6% случаев) и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эозинофилов </w:t>
      </w:r>
      <w:r>
        <w:rPr>
          <w:rFonts w:ascii="Times New Roman" w:hAnsi="Times New Roman"/>
          <w:sz w:val="28"/>
          <w:szCs w:val="28"/>
          <w:lang w:eastAsia="ru-RU"/>
        </w:rPr>
        <w:t>(в 34,8% случаев).</w:t>
      </w:r>
      <w:r w:rsidRPr="003B01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цитофлюориметрическом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исследовании крови у лиц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подострым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вариантом ЭАА зарегистрировано повышение уровня 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клеток, Т и особенно В-лимфоцитов (до 17,2%) </w:t>
      </w:r>
      <w:r w:rsidRPr="00B65716">
        <w:rPr>
          <w:rFonts w:ascii="Times New Roman" w:hAnsi="Times New Roman"/>
          <w:sz w:val="28"/>
          <w:szCs w:val="28"/>
          <w:lang w:eastAsia="ru-RU"/>
        </w:rPr>
        <w:t>(рис.3)</w:t>
      </w:r>
      <w:r>
        <w:rPr>
          <w:rFonts w:ascii="Times New Roman" w:hAnsi="Times New Roman"/>
          <w:sz w:val="28"/>
          <w:szCs w:val="28"/>
          <w:lang w:eastAsia="ru-RU"/>
        </w:rPr>
        <w:t xml:space="preserve">, сочетающееся с нормальными значениями индекса </w:t>
      </w:r>
      <w:r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B514ED">
        <w:rPr>
          <w:rFonts w:ascii="Times New Roman" w:hAnsi="Times New Roman"/>
          <w:sz w:val="28"/>
          <w:szCs w:val="28"/>
          <w:lang w:eastAsia="ru-RU"/>
        </w:rPr>
        <w:t>4/</w:t>
      </w:r>
      <w:r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B514ED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(см. рис.2). </w:t>
      </w:r>
    </w:p>
    <w:p w:rsidR="00C703FE" w:rsidRPr="00A06EFD" w:rsidRDefault="00C703FE" w:rsidP="00854815">
      <w:pPr>
        <w:keepNext/>
        <w:spacing w:before="0" w:line="276" w:lineRule="auto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EFD">
        <w:rPr>
          <w:rFonts w:ascii="Times New Roman" w:hAnsi="Times New Roman"/>
          <w:b/>
          <w:sz w:val="24"/>
          <w:szCs w:val="24"/>
          <w:lang w:eastAsia="ru-RU"/>
        </w:rPr>
        <w:t>Рисунок 3</w:t>
      </w:r>
      <w:r w:rsidRPr="00A06EFD">
        <w:rPr>
          <w:rFonts w:ascii="Times New Roman" w:hAnsi="Times New Roman"/>
          <w:sz w:val="24"/>
          <w:szCs w:val="24"/>
          <w:lang w:eastAsia="ru-RU"/>
        </w:rPr>
        <w:t>.  Среднее содержание В-лимфоцитов в крови больных с разными вариантами ЭАА (% от общего числа лимфоцитов)</w:t>
      </w:r>
    </w:p>
    <w:p w:rsidR="00C703FE" w:rsidRPr="0018401C" w:rsidRDefault="00C703FE" w:rsidP="00854815">
      <w:pPr>
        <w:ind w:left="0" w:right="-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FBE">
        <w:rPr>
          <w:rFonts w:ascii="Times New Roman" w:hAnsi="Times New Roman"/>
          <w:noProof/>
          <w:sz w:val="28"/>
          <w:szCs w:val="28"/>
          <w:lang w:eastAsia="ru-RU"/>
        </w:rPr>
        <w:object w:dxaOrig="8364" w:dyaOrig="3144">
          <v:shape id="_x0000_i1027" type="#_x0000_t75" style="width:472.2pt;height:173pt" o:ole="">
            <v:imagedata r:id="rId11" o:title=""/>
            <o:lock v:ext="edit" aspectratio="f"/>
          </v:shape>
          <o:OLEObject Type="Embed" ProgID="Excel.Sheet.8" ShapeID="_x0000_i1027" DrawAspect="Content" ObjectID="_1426671859" r:id="rId12"/>
        </w:object>
      </w:r>
    </w:p>
    <w:p w:rsidR="00C703FE" w:rsidRDefault="00C703FE" w:rsidP="00C66A52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AC1">
        <w:rPr>
          <w:rFonts w:ascii="Times New Roman" w:hAnsi="Times New Roman"/>
          <w:sz w:val="28"/>
          <w:szCs w:val="28"/>
          <w:lang w:eastAsia="ru-RU"/>
        </w:rPr>
        <w:t xml:space="preserve">Нарушения функции легких </w:t>
      </w:r>
      <w:r>
        <w:rPr>
          <w:rFonts w:ascii="Times New Roman" w:hAnsi="Times New Roman"/>
          <w:sz w:val="28"/>
          <w:szCs w:val="28"/>
          <w:lang w:eastAsia="ru-RU"/>
        </w:rPr>
        <w:t xml:space="preserve">отмечены практически у всех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больных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подостр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F3AC1">
        <w:rPr>
          <w:rFonts w:ascii="Times New Roman" w:hAnsi="Times New Roman"/>
          <w:sz w:val="28"/>
          <w:szCs w:val="28"/>
          <w:lang w:eastAsia="ru-RU"/>
        </w:rPr>
        <w:t>м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вариантом  ЭАА. </w:t>
      </w:r>
      <w:r>
        <w:rPr>
          <w:rFonts w:ascii="Times New Roman" w:hAnsi="Times New Roman"/>
          <w:sz w:val="28"/>
          <w:szCs w:val="28"/>
          <w:lang w:eastAsia="ru-RU"/>
        </w:rPr>
        <w:t xml:space="preserve">Чаще всего страдала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</w:t>
      </w:r>
      <w:r w:rsidRPr="00AF3AC1">
        <w:rPr>
          <w:rFonts w:ascii="Times New Roman" w:hAnsi="Times New Roman"/>
          <w:sz w:val="28"/>
          <w:szCs w:val="28"/>
          <w:lang w:eastAsia="ru-RU"/>
        </w:rPr>
        <w:t>азообменная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функция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AF3AC1">
        <w:rPr>
          <w:rFonts w:ascii="Times New Roman" w:hAnsi="Times New Roman"/>
          <w:sz w:val="28"/>
          <w:szCs w:val="28"/>
          <w:lang w:eastAsia="ru-RU"/>
        </w:rPr>
        <w:t>у 95,5% больных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AF3AC1">
        <w:rPr>
          <w:rFonts w:ascii="Times New Roman" w:hAnsi="Times New Roman"/>
          <w:sz w:val="28"/>
          <w:szCs w:val="28"/>
          <w:lang w:eastAsia="ru-RU"/>
        </w:rPr>
        <w:t>. Наибол</w:t>
      </w:r>
      <w:r>
        <w:rPr>
          <w:rFonts w:ascii="Times New Roman" w:hAnsi="Times New Roman"/>
          <w:sz w:val="28"/>
          <w:szCs w:val="28"/>
          <w:lang w:eastAsia="ru-RU"/>
        </w:rPr>
        <w:t>ее частым показателем ее нарушения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явилось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AC1">
        <w:rPr>
          <w:rFonts w:ascii="Times New Roman" w:hAnsi="Times New Roman"/>
          <w:sz w:val="28"/>
          <w:szCs w:val="28"/>
          <w:lang w:eastAsia="ru-RU"/>
        </w:rPr>
        <w:lastRenderedPageBreak/>
        <w:t>снижение DLCO и РаО</w:t>
      </w:r>
      <w:proofErr w:type="gramStart"/>
      <w:r w:rsidRPr="00AF3AC1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AF3AC1">
        <w:rPr>
          <w:rFonts w:ascii="Times New Roman" w:hAnsi="Times New Roman"/>
          <w:sz w:val="28"/>
          <w:szCs w:val="28"/>
          <w:lang w:eastAsia="ru-RU"/>
        </w:rPr>
        <w:t>есколько реже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снижение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коэффициента диффузии, но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на 12,8% больше, чем при остром варианте ЭАА.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AC1">
        <w:rPr>
          <w:rFonts w:ascii="Times New Roman" w:hAnsi="Times New Roman"/>
          <w:sz w:val="28"/>
          <w:szCs w:val="28"/>
          <w:lang w:eastAsia="ru-RU"/>
        </w:rPr>
        <w:t>Нарушения бронхиальной проходимости зарегистр</w:t>
      </w:r>
      <w:r>
        <w:rPr>
          <w:rFonts w:ascii="Times New Roman" w:hAnsi="Times New Roman"/>
          <w:sz w:val="28"/>
          <w:szCs w:val="28"/>
          <w:lang w:eastAsia="ru-RU"/>
        </w:rPr>
        <w:t>ированы более чем в 80% случаев</w:t>
      </w:r>
      <w:r w:rsidRPr="00AF3AC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Характерно, что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снижение всех показателей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функции легких, было </w:t>
      </w:r>
      <w:r>
        <w:rPr>
          <w:rFonts w:ascii="Times New Roman" w:hAnsi="Times New Roman"/>
          <w:sz w:val="28"/>
          <w:szCs w:val="28"/>
          <w:lang w:eastAsia="ru-RU"/>
        </w:rPr>
        <w:t xml:space="preserve">незначительным </w:t>
      </w:r>
      <w:r w:rsidRPr="00AF3AC1">
        <w:rPr>
          <w:rFonts w:ascii="Times New Roman" w:hAnsi="Times New Roman"/>
          <w:sz w:val="28"/>
          <w:szCs w:val="28"/>
          <w:lang w:eastAsia="ru-RU"/>
        </w:rPr>
        <w:t>(не ниже 60% д.</w:t>
      </w:r>
      <w:proofErr w:type="gramStart"/>
      <w:r w:rsidRPr="00AF3AC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.). </w:t>
      </w:r>
      <w:r>
        <w:rPr>
          <w:rFonts w:ascii="Times New Roman" w:hAnsi="Times New Roman"/>
          <w:sz w:val="28"/>
          <w:szCs w:val="28"/>
          <w:lang w:eastAsia="ru-RU"/>
        </w:rPr>
        <w:t xml:space="preserve">Но величины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DLCO и МСВ 50,25, </w:t>
      </w:r>
      <w:r>
        <w:rPr>
          <w:rFonts w:ascii="Times New Roman" w:hAnsi="Times New Roman"/>
          <w:sz w:val="28"/>
          <w:szCs w:val="28"/>
          <w:lang w:eastAsia="ru-RU"/>
        </w:rPr>
        <w:t xml:space="preserve">были ниже, </w:t>
      </w:r>
      <w:r w:rsidRPr="00AF3AC1">
        <w:rPr>
          <w:rFonts w:ascii="Times New Roman" w:hAnsi="Times New Roman"/>
          <w:sz w:val="28"/>
          <w:szCs w:val="28"/>
          <w:lang w:eastAsia="ru-RU"/>
        </w:rPr>
        <w:t>чем у больных с острым вариантом ЭАА.</w:t>
      </w:r>
    </w:p>
    <w:p w:rsidR="00C703FE" w:rsidRDefault="00C703FE" w:rsidP="00C66A52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AC1">
        <w:rPr>
          <w:rFonts w:ascii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>достром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варианте ЭАА  при КТВР у 79,1% больных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определялась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мелкоочаговая диссеминация </w:t>
      </w:r>
      <w:r>
        <w:rPr>
          <w:rFonts w:ascii="Times New Roman" w:hAnsi="Times New Roman"/>
          <w:sz w:val="28"/>
          <w:szCs w:val="28"/>
          <w:lang w:eastAsia="ru-RU"/>
        </w:rPr>
        <w:t>в различных отделах легких,</w:t>
      </w:r>
      <w:r w:rsidRPr="009948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более чем у половины пациентов -  утолщения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междольковых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перегородок.  КТ картина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коррелировала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данными гистологического исследования, отмечающего в дистальных отделах легкого формирование</w:t>
      </w:r>
      <w:r w:rsidRPr="00DB51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многочисленных макрофагальных гранулем, содержащих</w:t>
      </w:r>
      <w:r w:rsidRPr="00DB5153">
        <w:rPr>
          <w:rFonts w:ascii="Times New Roman" w:hAnsi="Times New Roman"/>
          <w:sz w:val="28"/>
          <w:szCs w:val="28"/>
          <w:lang w:eastAsia="ru-RU"/>
        </w:rPr>
        <w:t xml:space="preserve"> многоядерные гигантские макрофаги, гистиоциты и лимфоциты.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Примечательно, что характерные для туберкулеза или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саркоидоза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эпителиоидные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клетки, на наличие которых при ЭАА указывают многие авторы (Коган Е.А., 2007;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Hammar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DD21F5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2007), при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электоронно-микроскопическом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исследовании были идентифицированы нами как гистиоциты. Это более согласуется с патогенетическими аспектами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иммунокомплексного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воспаления и имеет определяющее значение в диагностике ЭАА. </w:t>
      </w:r>
      <w:r w:rsidRPr="00DB5153">
        <w:rPr>
          <w:rFonts w:ascii="Times New Roman" w:hAnsi="Times New Roman"/>
          <w:sz w:val="28"/>
          <w:szCs w:val="28"/>
          <w:lang w:eastAsia="ru-RU"/>
        </w:rPr>
        <w:t xml:space="preserve"> Количество лимфоидных элементов в составе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гранулем </w:t>
      </w:r>
      <w:r w:rsidRPr="00DB5153">
        <w:rPr>
          <w:rFonts w:ascii="Times New Roman" w:hAnsi="Times New Roman"/>
          <w:sz w:val="28"/>
          <w:szCs w:val="28"/>
          <w:lang w:eastAsia="ru-RU"/>
        </w:rPr>
        <w:t xml:space="preserve">заметно варьирует, может быть незначительным, тогда как содержание гистиоцитов и многоядерных макрофагов с признаками </w:t>
      </w:r>
      <w:proofErr w:type="spellStart"/>
      <w:r w:rsidRPr="00DB5153">
        <w:rPr>
          <w:rFonts w:ascii="Times New Roman" w:hAnsi="Times New Roman"/>
          <w:sz w:val="28"/>
          <w:szCs w:val="28"/>
          <w:lang w:eastAsia="ru-RU"/>
        </w:rPr>
        <w:t>лимфоцитарного</w:t>
      </w:r>
      <w:proofErr w:type="spellEnd"/>
      <w:r w:rsidRPr="00DB5153">
        <w:rPr>
          <w:rFonts w:ascii="Times New Roman" w:hAnsi="Times New Roman"/>
          <w:sz w:val="28"/>
          <w:szCs w:val="28"/>
          <w:lang w:eastAsia="ru-RU"/>
        </w:rPr>
        <w:t xml:space="preserve"> фагоцитоза </w:t>
      </w:r>
      <w:r>
        <w:rPr>
          <w:rFonts w:ascii="Times New Roman" w:hAnsi="Times New Roman"/>
          <w:sz w:val="28"/>
          <w:szCs w:val="28"/>
          <w:lang w:eastAsia="ru-RU"/>
        </w:rPr>
        <w:t xml:space="preserve">по мере развития макрофагальной реакции </w:t>
      </w:r>
      <w:r w:rsidRPr="00DB5153">
        <w:rPr>
          <w:rFonts w:ascii="Times New Roman" w:hAnsi="Times New Roman"/>
          <w:sz w:val="28"/>
          <w:szCs w:val="28"/>
          <w:lang w:eastAsia="ru-RU"/>
        </w:rPr>
        <w:t>наоборот возрастает.</w:t>
      </w:r>
      <w:r>
        <w:rPr>
          <w:rFonts w:ascii="Times New Roman" w:hAnsi="Times New Roman"/>
          <w:sz w:val="28"/>
          <w:szCs w:val="28"/>
          <w:lang w:eastAsia="ru-RU"/>
        </w:rPr>
        <w:t xml:space="preserve"> Это находит свое отражение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эндопульмональной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цитограмме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где</w:t>
      </w:r>
      <w:r w:rsidRPr="004306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процентное </w:t>
      </w:r>
      <w:r w:rsidRPr="00DB5153">
        <w:rPr>
          <w:rFonts w:ascii="Times New Roman" w:hAnsi="Times New Roman"/>
          <w:sz w:val="28"/>
          <w:szCs w:val="28"/>
          <w:lang w:eastAsia="ru-RU"/>
        </w:rPr>
        <w:t>содержание лимфоцитов почти в 2 раза меньше, чем при остром</w:t>
      </w:r>
      <w:r>
        <w:rPr>
          <w:rFonts w:ascii="Times New Roman" w:hAnsi="Times New Roman"/>
          <w:sz w:val="28"/>
          <w:szCs w:val="28"/>
          <w:lang w:eastAsia="ru-RU"/>
        </w:rPr>
        <w:t xml:space="preserve"> течении ЭАА, хотя, по прежнему, выше нормы</w:t>
      </w:r>
      <w:r w:rsidRPr="00DB51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(см. табл.1), индекс  СД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/СД8 ниже 1 (см. табл.2).</w:t>
      </w:r>
      <w:r w:rsidRPr="00DB5153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лаважной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жидкости </w:t>
      </w:r>
      <w:r w:rsidRPr="00DB5153">
        <w:rPr>
          <w:rFonts w:ascii="Times New Roman" w:hAnsi="Times New Roman"/>
          <w:sz w:val="28"/>
          <w:szCs w:val="28"/>
          <w:lang w:eastAsia="ru-RU"/>
        </w:rPr>
        <w:t>преоблада</w:t>
      </w:r>
      <w:r>
        <w:rPr>
          <w:rFonts w:ascii="Times New Roman" w:hAnsi="Times New Roman"/>
          <w:sz w:val="28"/>
          <w:szCs w:val="28"/>
          <w:lang w:eastAsia="ru-RU"/>
        </w:rPr>
        <w:t>ют  макрофагальные элементы, с</w:t>
      </w:r>
      <w:r w:rsidRPr="00DB5153">
        <w:rPr>
          <w:rFonts w:ascii="Times New Roman" w:hAnsi="Times New Roman"/>
          <w:sz w:val="28"/>
          <w:szCs w:val="28"/>
          <w:lang w:eastAsia="ru-RU"/>
        </w:rPr>
        <w:t xml:space="preserve">реди </w:t>
      </w:r>
      <w:r>
        <w:rPr>
          <w:rFonts w:ascii="Times New Roman" w:hAnsi="Times New Roman"/>
          <w:sz w:val="28"/>
          <w:szCs w:val="28"/>
          <w:lang w:eastAsia="ru-RU"/>
        </w:rPr>
        <w:t>которых повышено</w:t>
      </w:r>
      <w:r w:rsidRPr="00DB5153">
        <w:rPr>
          <w:rFonts w:ascii="Times New Roman" w:hAnsi="Times New Roman"/>
          <w:sz w:val="28"/>
          <w:szCs w:val="28"/>
          <w:lang w:eastAsia="ru-RU"/>
        </w:rPr>
        <w:t xml:space="preserve">  число </w:t>
      </w:r>
      <w:proofErr w:type="spellStart"/>
      <w:r w:rsidRPr="00DB5153">
        <w:rPr>
          <w:rFonts w:ascii="Times New Roman" w:hAnsi="Times New Roman"/>
          <w:sz w:val="28"/>
          <w:szCs w:val="28"/>
          <w:lang w:eastAsia="ru-RU"/>
        </w:rPr>
        <w:t>биосинтезирующих</w:t>
      </w:r>
      <w:proofErr w:type="spellEnd"/>
      <w:r w:rsidRPr="00DB5153">
        <w:rPr>
          <w:rFonts w:ascii="Times New Roman" w:hAnsi="Times New Roman"/>
          <w:sz w:val="28"/>
          <w:szCs w:val="28"/>
          <w:lang w:eastAsia="ru-RU"/>
        </w:rPr>
        <w:t xml:space="preserve"> и особенно зрелых одноядерных и многоядерных фагоцитов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табл.3)</w:t>
      </w:r>
      <w:r w:rsidRPr="00DB5153">
        <w:rPr>
          <w:rFonts w:ascii="Times New Roman" w:hAnsi="Times New Roman"/>
          <w:sz w:val="28"/>
          <w:szCs w:val="28"/>
          <w:lang w:eastAsia="ru-RU"/>
        </w:rPr>
        <w:t xml:space="preserve">, что составляет характерную особенность МФ этого варианта заболевания.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</w:t>
      </w:r>
      <w:r w:rsidRPr="00DB5153">
        <w:rPr>
          <w:rFonts w:ascii="Times New Roman" w:hAnsi="Times New Roman"/>
          <w:sz w:val="28"/>
          <w:szCs w:val="28"/>
          <w:lang w:eastAsia="ru-RU"/>
        </w:rPr>
        <w:t>иосинтезирующи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Pr="00DB5153">
        <w:rPr>
          <w:rFonts w:ascii="Times New Roman" w:hAnsi="Times New Roman"/>
          <w:sz w:val="28"/>
          <w:szCs w:val="28"/>
          <w:lang w:eastAsia="ru-RU"/>
        </w:rPr>
        <w:t xml:space="preserve"> макрофаг</w:t>
      </w:r>
      <w:r>
        <w:rPr>
          <w:rFonts w:ascii="Times New Roman" w:hAnsi="Times New Roman"/>
          <w:sz w:val="28"/>
          <w:szCs w:val="28"/>
          <w:lang w:eastAsia="ru-RU"/>
        </w:rPr>
        <w:t xml:space="preserve">и имеют характерную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ультраструктуру, в ядре этих клеток</w:t>
      </w:r>
      <w:r w:rsidRPr="00DB5153">
        <w:rPr>
          <w:rFonts w:ascii="Times New Roman" w:hAnsi="Times New Roman"/>
          <w:sz w:val="28"/>
          <w:szCs w:val="28"/>
          <w:lang w:eastAsia="ru-RU"/>
        </w:rPr>
        <w:t xml:space="preserve"> можно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определить </w:t>
      </w:r>
      <w:r w:rsidRPr="00DB5153">
        <w:rPr>
          <w:rFonts w:ascii="Times New Roman" w:hAnsi="Times New Roman"/>
          <w:sz w:val="28"/>
          <w:szCs w:val="28"/>
          <w:lang w:eastAsia="ru-RU"/>
        </w:rPr>
        <w:t xml:space="preserve">фигуры митоза, в </w:t>
      </w:r>
      <w:r>
        <w:rPr>
          <w:rFonts w:ascii="Times New Roman" w:hAnsi="Times New Roman"/>
          <w:sz w:val="28"/>
          <w:szCs w:val="28"/>
          <w:lang w:eastAsia="ru-RU"/>
        </w:rPr>
        <w:t>цитоплазме зрелых фагоцитов</w:t>
      </w:r>
      <w:r w:rsidRPr="00DB5153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фрагменты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апоптозных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лимфоцитов. </w:t>
      </w:r>
      <w:r w:rsidRPr="00DB5153">
        <w:rPr>
          <w:rFonts w:ascii="Times New Roman" w:hAnsi="Times New Roman"/>
          <w:sz w:val="28"/>
          <w:szCs w:val="28"/>
          <w:lang w:eastAsia="ru-RU"/>
        </w:rPr>
        <w:t xml:space="preserve">Гибель лимфоцитов путем </w:t>
      </w:r>
      <w:proofErr w:type="spellStart"/>
      <w:r w:rsidRPr="00DB5153">
        <w:rPr>
          <w:rFonts w:ascii="Times New Roman" w:hAnsi="Times New Roman"/>
          <w:sz w:val="28"/>
          <w:szCs w:val="28"/>
          <w:lang w:eastAsia="ru-RU"/>
        </w:rPr>
        <w:t>апоптоза</w:t>
      </w:r>
      <w:proofErr w:type="spellEnd"/>
      <w:r w:rsidRPr="00DB5153">
        <w:rPr>
          <w:rFonts w:ascii="Times New Roman" w:hAnsi="Times New Roman"/>
          <w:sz w:val="28"/>
          <w:szCs w:val="28"/>
          <w:lang w:eastAsia="ru-RU"/>
        </w:rPr>
        <w:t xml:space="preserve"> у большинства больных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подострым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течением заболевания</w:t>
      </w:r>
      <w:r w:rsidRPr="00DB5153">
        <w:rPr>
          <w:rFonts w:ascii="Times New Roman" w:hAnsi="Times New Roman"/>
          <w:sz w:val="28"/>
          <w:szCs w:val="28"/>
          <w:lang w:eastAsia="ru-RU"/>
        </w:rPr>
        <w:t xml:space="preserve"> достигает 49%</w:t>
      </w:r>
      <w:r>
        <w:rPr>
          <w:rFonts w:ascii="Times New Roman" w:hAnsi="Times New Roman"/>
          <w:sz w:val="28"/>
          <w:szCs w:val="28"/>
          <w:lang w:eastAsia="ru-RU"/>
        </w:rPr>
        <w:t xml:space="preserve"> (рис.4). </w:t>
      </w:r>
      <w:r w:rsidRPr="00DB5153">
        <w:rPr>
          <w:rFonts w:ascii="Times New Roman" w:hAnsi="Times New Roman"/>
          <w:sz w:val="28"/>
          <w:szCs w:val="28"/>
          <w:lang w:eastAsia="ru-RU"/>
        </w:rPr>
        <w:t xml:space="preserve">Среди альвеолярных макрофагов </w:t>
      </w:r>
      <w:r>
        <w:rPr>
          <w:rFonts w:ascii="Times New Roman" w:hAnsi="Times New Roman"/>
          <w:sz w:val="28"/>
          <w:szCs w:val="28"/>
          <w:lang w:eastAsia="ru-RU"/>
        </w:rPr>
        <w:t xml:space="preserve">в материале БАЛ выявлены </w:t>
      </w:r>
      <w:r w:rsidRPr="00DB5153">
        <w:rPr>
          <w:rFonts w:ascii="Times New Roman" w:hAnsi="Times New Roman"/>
          <w:sz w:val="28"/>
          <w:szCs w:val="28"/>
          <w:lang w:eastAsia="ru-RU"/>
        </w:rPr>
        <w:t>гистиоциты с ультраструктурными признаками умеренно выраженной секреторной и фагоцитарной активн</w:t>
      </w:r>
      <w:r>
        <w:rPr>
          <w:rFonts w:ascii="Times New Roman" w:hAnsi="Times New Roman"/>
          <w:sz w:val="28"/>
          <w:szCs w:val="28"/>
          <w:lang w:eastAsia="ru-RU"/>
        </w:rPr>
        <w:t xml:space="preserve">ости, что отражает активацию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фибриллогенеза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интерстиции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респираторного отдела.</w:t>
      </w:r>
    </w:p>
    <w:p w:rsidR="00C703FE" w:rsidRDefault="00FA675B" w:rsidP="0061577B">
      <w:pPr>
        <w:ind w:left="0" w:right="-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5B">
        <w:rPr>
          <w:noProof/>
          <w:lang w:eastAsia="ru-RU"/>
        </w:rPr>
        <w:pict>
          <v:shape id="Рисунок 2" o:spid="_x0000_s1026" type="#_x0000_t75" alt="подострый1" style="position:absolute;left:0;text-align:left;margin-left:244.15pt;margin-top:6.6pt;width:228.5pt;height:227.3pt;z-index:-251658240;visibility:visible" wrapcoords="-71 0 -71 21529 21600 21529 21600 0 -71 0">
            <v:imagedata r:id="rId13" o:title=""/>
            <w10:wrap type="tight"/>
          </v:shape>
        </w:pict>
      </w:r>
      <w:r w:rsidRPr="00FA675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8" type="#_x0000_t75" alt="острый1" style="width:227.2pt;height:227.2pt;visibility:visible">
            <v:imagedata r:id="rId14" o:title=""/>
          </v:shape>
        </w:pict>
      </w:r>
    </w:p>
    <w:p w:rsidR="00C703FE" w:rsidRPr="004F6FB0" w:rsidRDefault="00FA675B" w:rsidP="0061577B">
      <w:pPr>
        <w:ind w:left="0" w:right="-1" w:firstLine="0"/>
        <w:jc w:val="both"/>
        <w:rPr>
          <w:noProof/>
          <w:sz w:val="28"/>
        </w:rPr>
      </w:pPr>
      <w:r w:rsidRPr="00FA675B">
        <w:rPr>
          <w:noProof/>
          <w:lang w:eastAsia="ru-RU"/>
        </w:rPr>
        <w:pict>
          <v:shape id="Рисунок 5" o:spid="_x0000_s1027" type="#_x0000_t75" alt="хронический1" style="position:absolute;left:0;text-align:left;margin-left:2.15pt;margin-top:6.55pt;width:229.8pt;height:215.3pt;z-index:251659264;visibility:visible">
            <v:imagedata r:id="rId15" o:title=""/>
            <w10:wrap type="square"/>
          </v:shape>
        </w:pict>
      </w:r>
      <w:r w:rsidR="00C703FE" w:rsidRPr="00104986">
        <w:rPr>
          <w:b/>
          <w:noProof/>
          <w:sz w:val="28"/>
        </w:rPr>
        <w:t>Рис.4.</w:t>
      </w:r>
      <w:r w:rsidR="00C703FE" w:rsidRPr="004F6FB0">
        <w:rPr>
          <w:noProof/>
          <w:sz w:val="28"/>
        </w:rPr>
        <w:t xml:space="preserve"> Диаграммы распределения лимфоцитов БАЛ на живые и гибнущие путем некроза </w:t>
      </w:r>
      <w:r w:rsidR="00C703FE">
        <w:rPr>
          <w:noProof/>
          <w:sz w:val="28"/>
        </w:rPr>
        <w:t xml:space="preserve">или апоптоза у больных с разными вариантами </w:t>
      </w:r>
      <w:r w:rsidR="00C703FE" w:rsidRPr="004F6FB0">
        <w:rPr>
          <w:noProof/>
          <w:sz w:val="28"/>
        </w:rPr>
        <w:t xml:space="preserve">ЭАА: </w:t>
      </w:r>
      <w:r w:rsidR="00C703FE" w:rsidRPr="004F6FB0">
        <w:rPr>
          <w:b/>
          <w:noProof/>
          <w:sz w:val="28"/>
        </w:rPr>
        <w:t>а</w:t>
      </w:r>
      <w:r w:rsidR="00C703FE">
        <w:rPr>
          <w:noProof/>
          <w:sz w:val="28"/>
        </w:rPr>
        <w:t xml:space="preserve"> – острый</w:t>
      </w:r>
      <w:r w:rsidR="00C703FE" w:rsidRPr="004F6FB0">
        <w:rPr>
          <w:noProof/>
          <w:sz w:val="28"/>
        </w:rPr>
        <w:t xml:space="preserve">; </w:t>
      </w:r>
      <w:r w:rsidR="00C703FE" w:rsidRPr="004F6FB0">
        <w:rPr>
          <w:b/>
          <w:noProof/>
          <w:sz w:val="28"/>
        </w:rPr>
        <w:t>б</w:t>
      </w:r>
      <w:r w:rsidR="00C703FE">
        <w:rPr>
          <w:noProof/>
          <w:sz w:val="28"/>
        </w:rPr>
        <w:t xml:space="preserve"> – подострый</w:t>
      </w:r>
      <w:r w:rsidR="00C703FE" w:rsidRPr="004F6FB0">
        <w:rPr>
          <w:noProof/>
          <w:sz w:val="28"/>
        </w:rPr>
        <w:t xml:space="preserve">; </w:t>
      </w:r>
      <w:r w:rsidR="00C703FE" w:rsidRPr="004F6FB0">
        <w:rPr>
          <w:b/>
          <w:noProof/>
          <w:sz w:val="28"/>
        </w:rPr>
        <w:t>в</w:t>
      </w:r>
      <w:r w:rsidR="00C703FE">
        <w:rPr>
          <w:noProof/>
          <w:sz w:val="28"/>
        </w:rPr>
        <w:t xml:space="preserve"> – хронический</w:t>
      </w:r>
      <w:r w:rsidR="00C703FE" w:rsidRPr="004F6FB0">
        <w:rPr>
          <w:noProof/>
          <w:sz w:val="28"/>
        </w:rPr>
        <w:t xml:space="preserve">. Окраска </w:t>
      </w:r>
      <w:r w:rsidR="00C703FE" w:rsidRPr="004F6FB0">
        <w:rPr>
          <w:noProof/>
          <w:sz w:val="28"/>
          <w:lang w:val="en-US"/>
        </w:rPr>
        <w:t>Annexin</w:t>
      </w:r>
      <w:r w:rsidR="00C703FE" w:rsidRPr="004F6FB0">
        <w:rPr>
          <w:noProof/>
          <w:sz w:val="28"/>
        </w:rPr>
        <w:t>-</w:t>
      </w:r>
      <w:r w:rsidR="00C703FE" w:rsidRPr="004F6FB0">
        <w:rPr>
          <w:noProof/>
          <w:sz w:val="28"/>
          <w:lang w:val="en-US"/>
        </w:rPr>
        <w:t>V</w:t>
      </w:r>
      <w:r w:rsidR="00C703FE" w:rsidRPr="004F6FB0">
        <w:rPr>
          <w:noProof/>
          <w:sz w:val="28"/>
        </w:rPr>
        <w:t xml:space="preserve"> и йодид пропидия. Квадрант </w:t>
      </w:r>
      <w:r w:rsidR="00C703FE" w:rsidRPr="004F6FB0">
        <w:rPr>
          <w:b/>
          <w:noProof/>
          <w:sz w:val="28"/>
          <w:lang w:val="en-US"/>
        </w:rPr>
        <w:t>I</w:t>
      </w:r>
      <w:r w:rsidR="00C703FE" w:rsidRPr="004F6FB0">
        <w:rPr>
          <w:noProof/>
          <w:sz w:val="28"/>
        </w:rPr>
        <w:t xml:space="preserve"> – некроз, </w:t>
      </w:r>
      <w:r w:rsidR="00C703FE" w:rsidRPr="004F6FB0">
        <w:rPr>
          <w:b/>
          <w:noProof/>
          <w:sz w:val="28"/>
          <w:lang w:val="en-US"/>
        </w:rPr>
        <w:t>II</w:t>
      </w:r>
      <w:r w:rsidR="00C703FE" w:rsidRPr="004F6FB0">
        <w:rPr>
          <w:noProof/>
          <w:sz w:val="28"/>
        </w:rPr>
        <w:t xml:space="preserve"> – поздний апоптоз, </w:t>
      </w:r>
      <w:r w:rsidR="00C703FE" w:rsidRPr="004F6FB0">
        <w:rPr>
          <w:b/>
          <w:noProof/>
          <w:sz w:val="28"/>
          <w:lang w:val="en-US"/>
        </w:rPr>
        <w:t>III</w:t>
      </w:r>
      <w:r w:rsidR="00C703FE" w:rsidRPr="004F6FB0">
        <w:rPr>
          <w:noProof/>
          <w:sz w:val="28"/>
        </w:rPr>
        <w:t xml:space="preserve"> – живые клетки, </w:t>
      </w:r>
      <w:r w:rsidR="00C703FE" w:rsidRPr="004F6FB0">
        <w:rPr>
          <w:b/>
          <w:noProof/>
          <w:sz w:val="28"/>
          <w:lang w:val="en-US"/>
        </w:rPr>
        <w:t>IV</w:t>
      </w:r>
      <w:r w:rsidR="00C703FE" w:rsidRPr="004F6FB0">
        <w:rPr>
          <w:noProof/>
          <w:sz w:val="28"/>
        </w:rPr>
        <w:t xml:space="preserve"> – ранний апоптоз.</w:t>
      </w:r>
    </w:p>
    <w:p w:rsidR="00C703FE" w:rsidRDefault="00C703FE" w:rsidP="003809EC">
      <w:pPr>
        <w:ind w:left="0" w:right="-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03FE" w:rsidRDefault="00C703FE" w:rsidP="003809EC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BD28D2">
        <w:rPr>
          <w:rFonts w:ascii="Times New Roman" w:hAnsi="Times New Roman"/>
          <w:b/>
          <w:sz w:val="28"/>
          <w:szCs w:val="28"/>
          <w:lang w:eastAsia="ru-RU"/>
        </w:rPr>
        <w:t xml:space="preserve">Хронический вариант </w:t>
      </w:r>
      <w:r>
        <w:rPr>
          <w:rFonts w:ascii="Times New Roman" w:hAnsi="Times New Roman"/>
          <w:sz w:val="28"/>
          <w:szCs w:val="28"/>
          <w:lang w:eastAsia="ru-RU"/>
        </w:rPr>
        <w:t xml:space="preserve">выделен у 24 (22,9%) больных  ЭАА: </w:t>
      </w:r>
      <w:r w:rsidRPr="00AF3AC1">
        <w:rPr>
          <w:rFonts w:ascii="Times New Roman" w:hAnsi="Times New Roman"/>
          <w:sz w:val="28"/>
          <w:szCs w:val="28"/>
          <w:lang w:eastAsia="ru-RU"/>
        </w:rPr>
        <w:t>18 женщин и 6 мужчин, в возрасте от 41 до 76</w:t>
      </w:r>
      <w:r>
        <w:rPr>
          <w:rFonts w:ascii="Times New Roman" w:hAnsi="Times New Roman"/>
          <w:sz w:val="28"/>
          <w:szCs w:val="28"/>
          <w:lang w:eastAsia="ru-RU"/>
        </w:rPr>
        <w:t xml:space="preserve"> лет (средний возраст 56,4±1,9),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 д</w:t>
      </w:r>
      <w:r w:rsidRPr="00AF3AC1">
        <w:rPr>
          <w:rFonts w:ascii="Times New Roman" w:hAnsi="Times New Roman"/>
          <w:sz w:val="28"/>
          <w:szCs w:val="28"/>
          <w:lang w:eastAsia="ru-RU"/>
        </w:rPr>
        <w:t>лительность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заболевания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от 1 года до 12 лет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AF3AC1">
        <w:rPr>
          <w:rFonts w:ascii="Times New Roman" w:hAnsi="Times New Roman"/>
          <w:sz w:val="28"/>
          <w:szCs w:val="28"/>
          <w:lang w:eastAsia="ru-RU"/>
        </w:rPr>
        <w:t>в среднем 3,75 лет</w:t>
      </w:r>
      <w:r>
        <w:rPr>
          <w:rFonts w:ascii="Times New Roman" w:hAnsi="Times New Roman"/>
          <w:sz w:val="28"/>
          <w:szCs w:val="28"/>
          <w:lang w:eastAsia="ru-RU"/>
        </w:rPr>
        <w:t xml:space="preserve">). Большая часть из них (72,1%) имели длительный и постоянный контакт с библиотечной и строительной пылью. </w:t>
      </w:r>
    </w:p>
    <w:p w:rsidR="00C703FE" w:rsidRPr="00195E4A" w:rsidRDefault="00C703FE" w:rsidP="003809EC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AC1">
        <w:rPr>
          <w:rFonts w:ascii="Times New Roman" w:hAnsi="Times New Roman"/>
          <w:sz w:val="28"/>
          <w:szCs w:val="28"/>
          <w:lang w:eastAsia="ru-RU"/>
        </w:rPr>
        <w:t xml:space="preserve">Клиническая картина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пациентов </w:t>
      </w:r>
      <w:r w:rsidRPr="00AF3AC1">
        <w:rPr>
          <w:rFonts w:ascii="Times New Roman" w:hAnsi="Times New Roman"/>
          <w:sz w:val="28"/>
          <w:szCs w:val="28"/>
          <w:lang w:eastAsia="ru-RU"/>
        </w:rPr>
        <w:t>с хроническим вариантом ЭАА значительно отлича</w:t>
      </w:r>
      <w:r>
        <w:rPr>
          <w:rFonts w:ascii="Times New Roman" w:hAnsi="Times New Roman"/>
          <w:sz w:val="28"/>
          <w:szCs w:val="28"/>
          <w:lang w:eastAsia="ru-RU"/>
        </w:rPr>
        <w:t xml:space="preserve">лась от таковой при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подостром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и, особенно, при остром варианте заболевания, и характеризовалась </w:t>
      </w:r>
      <w:r w:rsidRPr="00AF3AC1">
        <w:rPr>
          <w:rFonts w:ascii="Times New Roman" w:hAnsi="Times New Roman"/>
          <w:sz w:val="28"/>
          <w:szCs w:val="28"/>
          <w:lang w:eastAsia="ru-RU"/>
        </w:rPr>
        <w:t>медленным, но постоянным прогрессированием  респираторных сим</w:t>
      </w:r>
      <w:r>
        <w:rPr>
          <w:rFonts w:ascii="Times New Roman" w:hAnsi="Times New Roman"/>
          <w:sz w:val="28"/>
          <w:szCs w:val="28"/>
          <w:lang w:eastAsia="ru-RU"/>
        </w:rPr>
        <w:t xml:space="preserve">птомов, в первую очередь одышки, которая отмечена </w:t>
      </w:r>
      <w:r w:rsidRPr="00AF3AC1">
        <w:rPr>
          <w:rFonts w:ascii="Times New Roman" w:hAnsi="Times New Roman"/>
          <w:sz w:val="28"/>
          <w:szCs w:val="28"/>
          <w:lang w:eastAsia="ru-RU"/>
        </w:rPr>
        <w:t>в 100% случаев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Интенсивность ее </w:t>
      </w:r>
      <w:r>
        <w:rPr>
          <w:rFonts w:ascii="Times New Roman" w:hAnsi="Times New Roman"/>
          <w:sz w:val="28"/>
          <w:szCs w:val="28"/>
          <w:lang w:eastAsia="ru-RU"/>
        </w:rPr>
        <w:t xml:space="preserve">значительно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выше, чем при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других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вариантах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AC1">
        <w:rPr>
          <w:rFonts w:ascii="Times New Roman" w:hAnsi="Times New Roman"/>
          <w:sz w:val="28"/>
          <w:szCs w:val="28"/>
          <w:lang w:eastAsia="ru-RU"/>
        </w:rPr>
        <w:t>ЭАА</w:t>
      </w:r>
      <w:r>
        <w:rPr>
          <w:rFonts w:ascii="Times New Roman" w:hAnsi="Times New Roman"/>
          <w:sz w:val="28"/>
          <w:szCs w:val="28"/>
          <w:lang w:eastAsia="ru-RU"/>
        </w:rPr>
        <w:t>, и оценивалась  2 или 3 степенью тяжести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. У </w:t>
      </w:r>
      <w:r>
        <w:rPr>
          <w:rFonts w:ascii="Times New Roman" w:hAnsi="Times New Roman"/>
          <w:sz w:val="28"/>
          <w:szCs w:val="28"/>
          <w:lang w:eastAsia="ru-RU"/>
        </w:rPr>
        <w:t>62,5%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боль</w:t>
      </w:r>
      <w:r>
        <w:rPr>
          <w:rFonts w:ascii="Times New Roman" w:hAnsi="Times New Roman"/>
          <w:sz w:val="28"/>
          <w:szCs w:val="28"/>
          <w:lang w:eastAsia="ru-RU"/>
        </w:rPr>
        <w:t>ных  была зарегистрирована крепитация, которая не наблюдалась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ни при </w:t>
      </w:r>
      <w:proofErr w:type="gramStart"/>
      <w:r w:rsidRPr="00AF3AC1">
        <w:rPr>
          <w:rFonts w:ascii="Times New Roman" w:hAnsi="Times New Roman"/>
          <w:sz w:val="28"/>
          <w:szCs w:val="28"/>
          <w:lang w:eastAsia="ru-RU"/>
        </w:rPr>
        <w:t>остром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ни при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подостром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вариантах. Вместе с тем, почти у половины больных с хроническим течением ЭАА констатировано повышение уровня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IgG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но из-за значительного разброса индивидуальных показателей у различных пациентов, его средняя величина оставалась в пределах нормы.</w:t>
      </w:r>
    </w:p>
    <w:p w:rsidR="00C703FE" w:rsidRDefault="00C703FE" w:rsidP="003809EC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Показатели гемограммы больных с хроническим вариантом в основном находились  в пределах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референтных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значений. При этом индекс </w:t>
      </w:r>
      <w:r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2B0749">
        <w:rPr>
          <w:rFonts w:ascii="Times New Roman" w:hAnsi="Times New Roman"/>
          <w:sz w:val="28"/>
          <w:szCs w:val="28"/>
          <w:lang w:eastAsia="ru-RU"/>
        </w:rPr>
        <w:t>4/</w:t>
      </w:r>
      <w:r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2B074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 в крови имел  тенденцию к </w:t>
      </w:r>
      <w:r w:rsidRPr="0018401C">
        <w:rPr>
          <w:rFonts w:ascii="Times New Roman" w:hAnsi="Times New Roman"/>
          <w:sz w:val="28"/>
          <w:szCs w:val="28"/>
          <w:lang w:eastAsia="ru-RU"/>
        </w:rPr>
        <w:t>сниж</w:t>
      </w:r>
      <w:r>
        <w:rPr>
          <w:rFonts w:ascii="Times New Roman" w:hAnsi="Times New Roman"/>
          <w:sz w:val="28"/>
          <w:szCs w:val="28"/>
          <w:lang w:eastAsia="ru-RU"/>
        </w:rPr>
        <w:t xml:space="preserve">ению, среднее значение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НК-клеток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приближено к нормальным величинам, в отличие от острого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подострого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вариантов, где уровень их существенно выше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рис.1,2). Интересной находкой оказалось обнаружение повышенного уровня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IgA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 70% этих  больных, что, скорее всего,  связано с наличием постоянного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мелкодозированного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контакта с агрессивным агентом,  что, в конечном счете,  приводит к поддержанию аллергической реакции. При этом повышение уровня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преципитирующих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антител в крови до средних значений (1:4) отмечено лишь у трети больных с этим вариантом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альвеолита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и оно, как правило, не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коррелировало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анамнестическими данными. Антитела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различного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рода грибам при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исследовании крови выявлены не были, при том, что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лаважной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жидкости обнаружены  ДНК </w:t>
      </w:r>
      <w:r>
        <w:rPr>
          <w:rFonts w:ascii="Times New Roman" w:hAnsi="Times New Roman"/>
          <w:sz w:val="28"/>
          <w:szCs w:val="28"/>
          <w:lang w:val="en-US" w:eastAsia="ru-RU"/>
        </w:rPr>
        <w:t>Candida</w:t>
      </w:r>
      <w:r w:rsidRPr="00F762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и/или </w:t>
      </w:r>
      <w:r w:rsidRPr="00F762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Aspergillus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10% случаев.</w:t>
      </w:r>
    </w:p>
    <w:p w:rsidR="00C703FE" w:rsidRDefault="00C703FE" w:rsidP="003809EC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всех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больных с хроническим вариантом течения ЭАА </w:t>
      </w:r>
      <w:r>
        <w:rPr>
          <w:rFonts w:ascii="Times New Roman" w:hAnsi="Times New Roman"/>
          <w:sz w:val="28"/>
          <w:szCs w:val="28"/>
          <w:lang w:eastAsia="ru-RU"/>
        </w:rPr>
        <w:t xml:space="preserve">характерны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нарушения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газообменной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функции легких. Более, чем у половины пациентов (54,2%), то есть значительно чаще чем у лиц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острым и </w:t>
      </w:r>
      <w:proofErr w:type="spellStart"/>
      <w:r w:rsidRPr="00AF3AC1">
        <w:rPr>
          <w:rFonts w:ascii="Times New Roman" w:hAnsi="Times New Roman"/>
          <w:sz w:val="28"/>
          <w:szCs w:val="28"/>
          <w:lang w:eastAsia="ru-RU"/>
        </w:rPr>
        <w:t>подострым</w:t>
      </w:r>
      <w:proofErr w:type="spell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вариантами,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происходило снижение </w:t>
      </w:r>
      <w:r w:rsidRPr="00AF3AC1">
        <w:rPr>
          <w:rFonts w:ascii="Times New Roman" w:hAnsi="Times New Roman"/>
          <w:sz w:val="28"/>
          <w:szCs w:val="28"/>
          <w:lang w:eastAsia="ru-RU"/>
        </w:rPr>
        <w:t>ЖЕЛ и ОФВ</w:t>
      </w:r>
      <w:proofErr w:type="gramStart"/>
      <w:r w:rsidRPr="00AF3AC1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AF3AC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 2-3 раза чаще, чем при других вариантах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альвеолита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отмечено снижение показателей </w:t>
      </w:r>
      <w:r w:rsidRPr="00AF3AC1">
        <w:rPr>
          <w:rFonts w:ascii="Times New Roman" w:hAnsi="Times New Roman"/>
          <w:sz w:val="28"/>
          <w:szCs w:val="28"/>
          <w:lang w:eastAsia="ru-RU"/>
        </w:rPr>
        <w:t>РаО</w:t>
      </w:r>
      <w:proofErr w:type="gramStart"/>
      <w:r w:rsidRPr="00AF3AC1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AF3AC1">
        <w:rPr>
          <w:rFonts w:ascii="Times New Roman" w:hAnsi="Times New Roman"/>
          <w:sz w:val="28"/>
          <w:szCs w:val="28"/>
          <w:lang w:eastAsia="ru-RU"/>
        </w:rPr>
        <w:t>, DLCO, DLCO/VA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 же проходимости бронхов (МСВ 75,50,25). </w:t>
      </w:r>
      <w:r w:rsidRPr="008930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Общая с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тепень выраженности выявляемых </w:t>
      </w:r>
      <w:r>
        <w:rPr>
          <w:rFonts w:ascii="Times New Roman" w:hAnsi="Times New Roman"/>
          <w:sz w:val="28"/>
          <w:szCs w:val="28"/>
          <w:lang w:eastAsia="ru-RU"/>
        </w:rPr>
        <w:t xml:space="preserve">функциональных </w:t>
      </w:r>
      <w:r w:rsidRPr="00AF3AC1">
        <w:rPr>
          <w:rFonts w:ascii="Times New Roman" w:hAnsi="Times New Roman"/>
          <w:sz w:val="28"/>
          <w:szCs w:val="28"/>
          <w:lang w:eastAsia="ru-RU"/>
        </w:rPr>
        <w:t>изменений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значительно выше,</w:t>
      </w:r>
      <w:r>
        <w:rPr>
          <w:rFonts w:ascii="Times New Roman" w:hAnsi="Times New Roman"/>
          <w:sz w:val="28"/>
          <w:szCs w:val="28"/>
          <w:lang w:eastAsia="ru-RU"/>
        </w:rPr>
        <w:t xml:space="preserve"> чем при двух других вариантах заболевания (от 59 до 40% д.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.),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что может </w:t>
      </w:r>
      <w:r>
        <w:rPr>
          <w:rFonts w:ascii="Times New Roman" w:hAnsi="Times New Roman"/>
          <w:sz w:val="28"/>
          <w:szCs w:val="28"/>
          <w:lang w:eastAsia="ru-RU"/>
        </w:rPr>
        <w:t xml:space="preserve">быть проявлением </w:t>
      </w:r>
      <w:r w:rsidRPr="00AF3AC1">
        <w:rPr>
          <w:rFonts w:ascii="Times New Roman" w:hAnsi="Times New Roman"/>
          <w:sz w:val="28"/>
          <w:szCs w:val="28"/>
          <w:lang w:eastAsia="ru-RU"/>
        </w:rPr>
        <w:t>вторичной рестрикции за счет фиброзной трансформации легочной ткани.</w:t>
      </w:r>
      <w:r>
        <w:rPr>
          <w:rFonts w:ascii="Times New Roman" w:hAnsi="Times New Roman"/>
          <w:sz w:val="28"/>
          <w:szCs w:val="28"/>
          <w:lang w:eastAsia="ru-RU"/>
        </w:rPr>
        <w:t xml:space="preserve"> Об этом так же свидетельствуют  данные КТ картины, где  наблюдалось  выраженное  нарушение архитектоники легочной ткани,  развитие признаков «сотового легкого», картину которого можно было видеть у 70,8% больных. У большей части пациентов участки пониженной плотности легочной паренхимы и явления фиброза сочетались с цилиндрическими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тракционными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бронх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бронхиолоэктазами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703FE" w:rsidRDefault="00C703FE" w:rsidP="003809EC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Активация процессов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фиброзирования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разные стадии формирования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внутриальвеолярных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кист и «сотового легкого» наблюдались  и в гистологическом материале легочных биопсий.</w:t>
      </w:r>
      <w:r w:rsidRPr="00AB33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</w:t>
      </w:r>
      <w:r w:rsidRPr="0089308D">
        <w:rPr>
          <w:rFonts w:ascii="Times New Roman" w:hAnsi="Times New Roman"/>
          <w:sz w:val="28"/>
          <w:szCs w:val="28"/>
          <w:lang w:eastAsia="ru-RU"/>
        </w:rPr>
        <w:t>иффузный интерстициальный и о</w:t>
      </w:r>
      <w:r>
        <w:rPr>
          <w:rFonts w:ascii="Times New Roman" w:hAnsi="Times New Roman"/>
          <w:sz w:val="28"/>
          <w:szCs w:val="28"/>
          <w:lang w:eastAsia="ru-RU"/>
        </w:rPr>
        <w:t xml:space="preserve">чаговый пневмосклероз сочетался </w:t>
      </w:r>
      <w:r w:rsidRPr="0089308D">
        <w:rPr>
          <w:rFonts w:ascii="Times New Roman" w:hAnsi="Times New Roman"/>
          <w:sz w:val="28"/>
          <w:szCs w:val="28"/>
          <w:lang w:eastAsia="ru-RU"/>
        </w:rPr>
        <w:t xml:space="preserve"> со слабо выраженной клеточной реакцией, главным образом макрофагальной, внутри – и внеклеточными отложениями кальция и/или железа в виде характерных телец </w:t>
      </w:r>
      <w:proofErr w:type="spellStart"/>
      <w:r w:rsidRPr="0089308D">
        <w:rPr>
          <w:rFonts w:ascii="Times New Roman" w:hAnsi="Times New Roman"/>
          <w:sz w:val="28"/>
          <w:szCs w:val="28"/>
          <w:lang w:eastAsia="ru-RU"/>
        </w:rPr>
        <w:t>Шаумана</w:t>
      </w:r>
      <w:proofErr w:type="spellEnd"/>
      <w:r w:rsidRPr="0089308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так же отмечает ряд авторов (Черняев А.Л., Самсонова М.В., 2011; 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FB41C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B41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Hammar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2007).</w:t>
      </w:r>
      <w:proofErr w:type="gramEnd"/>
    </w:p>
    <w:p w:rsidR="00C703FE" w:rsidRPr="00FB41CB" w:rsidRDefault="00C703FE" w:rsidP="003809EC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053"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053">
        <w:rPr>
          <w:rFonts w:ascii="Times New Roman" w:hAnsi="Times New Roman"/>
          <w:sz w:val="28"/>
          <w:szCs w:val="28"/>
          <w:lang w:eastAsia="ru-RU"/>
        </w:rPr>
        <w:t xml:space="preserve">хроническом течении заболевания все показатели </w:t>
      </w:r>
      <w:proofErr w:type="spellStart"/>
      <w:r w:rsidRPr="00412053">
        <w:rPr>
          <w:rFonts w:ascii="Times New Roman" w:hAnsi="Times New Roman"/>
          <w:sz w:val="28"/>
          <w:szCs w:val="28"/>
          <w:lang w:eastAsia="ru-RU"/>
        </w:rPr>
        <w:t>эндопульмо</w:t>
      </w:r>
      <w:r>
        <w:rPr>
          <w:rFonts w:ascii="Times New Roman" w:hAnsi="Times New Roman"/>
          <w:sz w:val="28"/>
          <w:szCs w:val="28"/>
          <w:lang w:eastAsia="ru-RU"/>
        </w:rPr>
        <w:t>нальной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цитограммы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 отличались от контрольных значений (см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абл. 1).</w:t>
      </w:r>
      <w:r w:rsidRPr="004120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диагностики этого варианта ЭАА лучше использовать показатель индекса  соотношения </w:t>
      </w:r>
      <w:r w:rsidRPr="00412053">
        <w:rPr>
          <w:rFonts w:ascii="Times New Roman" w:hAnsi="Times New Roman"/>
          <w:sz w:val="28"/>
          <w:szCs w:val="28"/>
          <w:lang w:eastAsia="ru-RU"/>
        </w:rPr>
        <w:t>СД</w:t>
      </w:r>
      <w:proofErr w:type="gramStart"/>
      <w:r w:rsidRPr="00412053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412053">
        <w:rPr>
          <w:rFonts w:ascii="Times New Roman" w:hAnsi="Times New Roman"/>
          <w:sz w:val="28"/>
          <w:szCs w:val="28"/>
          <w:lang w:eastAsia="ru-RU"/>
        </w:rPr>
        <w:t>/СД8</w:t>
      </w:r>
      <w:r>
        <w:rPr>
          <w:rFonts w:ascii="Times New Roman" w:hAnsi="Times New Roman"/>
          <w:sz w:val="28"/>
          <w:szCs w:val="28"/>
          <w:lang w:eastAsia="ru-RU"/>
        </w:rPr>
        <w:t>, который</w:t>
      </w:r>
      <w:r w:rsidRPr="004120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значительно ниже 1 (см. табл.2).</w:t>
      </w:r>
      <w:r w:rsidRPr="00412053">
        <w:rPr>
          <w:rFonts w:ascii="Times New Roman" w:hAnsi="Times New Roman"/>
          <w:sz w:val="28"/>
          <w:szCs w:val="28"/>
          <w:lang w:eastAsia="ru-RU"/>
        </w:rPr>
        <w:t xml:space="preserve"> Уровень </w:t>
      </w:r>
      <w:proofErr w:type="spellStart"/>
      <w:r w:rsidRPr="00412053">
        <w:rPr>
          <w:rFonts w:ascii="Times New Roman" w:hAnsi="Times New Roman"/>
          <w:sz w:val="28"/>
          <w:szCs w:val="28"/>
          <w:lang w:eastAsia="ru-RU"/>
        </w:rPr>
        <w:lastRenderedPageBreak/>
        <w:t>лимфоцитарного</w:t>
      </w:r>
      <w:proofErr w:type="spellEnd"/>
      <w:r w:rsidRPr="004120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2053">
        <w:rPr>
          <w:rFonts w:ascii="Times New Roman" w:hAnsi="Times New Roman"/>
          <w:sz w:val="28"/>
          <w:szCs w:val="28"/>
          <w:lang w:eastAsia="ru-RU"/>
        </w:rPr>
        <w:t>апоптоза</w:t>
      </w:r>
      <w:proofErr w:type="spellEnd"/>
      <w:r w:rsidRPr="004120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так же </w:t>
      </w:r>
      <w:r w:rsidRPr="00412053">
        <w:rPr>
          <w:rFonts w:ascii="Times New Roman" w:hAnsi="Times New Roman"/>
          <w:sz w:val="28"/>
          <w:szCs w:val="28"/>
          <w:lang w:eastAsia="ru-RU"/>
        </w:rPr>
        <w:t>самый низкий, варьирует от 2 до 13 %; некрозы – не зафиксированы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рис.4)</w:t>
      </w:r>
      <w:r w:rsidRPr="0041205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12053">
        <w:rPr>
          <w:rFonts w:ascii="Times New Roman" w:hAnsi="Times New Roman"/>
          <w:sz w:val="28"/>
          <w:szCs w:val="28"/>
          <w:lang w:eastAsia="ru-RU"/>
        </w:rPr>
        <w:t>В МФ</w:t>
      </w:r>
      <w:r>
        <w:rPr>
          <w:rFonts w:ascii="Times New Roman" w:hAnsi="Times New Roman"/>
          <w:sz w:val="28"/>
          <w:szCs w:val="28"/>
          <w:lang w:eastAsia="ru-RU"/>
        </w:rPr>
        <w:t xml:space="preserve"> БАЛ</w:t>
      </w:r>
      <w:r w:rsidRPr="004120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сохраняется повышенное </w:t>
      </w:r>
      <w:r w:rsidRPr="00412053">
        <w:rPr>
          <w:rFonts w:ascii="Times New Roman" w:hAnsi="Times New Roman"/>
          <w:sz w:val="28"/>
          <w:szCs w:val="28"/>
          <w:lang w:eastAsia="ru-RU"/>
        </w:rPr>
        <w:t xml:space="preserve">число зрелых </w:t>
      </w:r>
      <w:proofErr w:type="spellStart"/>
      <w:r w:rsidRPr="00412053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агоцитирующих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макрофагов (см. табл.3), среди которых, </w:t>
      </w:r>
      <w:r w:rsidRPr="00412053">
        <w:rPr>
          <w:rFonts w:ascii="Times New Roman" w:hAnsi="Times New Roman"/>
          <w:sz w:val="28"/>
          <w:szCs w:val="28"/>
          <w:lang w:eastAsia="ru-RU"/>
        </w:rPr>
        <w:t xml:space="preserve"> по прежнему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12053">
        <w:rPr>
          <w:rFonts w:ascii="Times New Roman" w:hAnsi="Times New Roman"/>
          <w:sz w:val="28"/>
          <w:szCs w:val="28"/>
          <w:lang w:eastAsia="ru-RU"/>
        </w:rPr>
        <w:t xml:space="preserve"> встречаются гистиоциты</w:t>
      </w:r>
      <w:r>
        <w:rPr>
          <w:rFonts w:ascii="Times New Roman" w:hAnsi="Times New Roman"/>
          <w:sz w:val="28"/>
          <w:szCs w:val="28"/>
          <w:lang w:eastAsia="ru-RU"/>
        </w:rPr>
        <w:t xml:space="preserve"> с характерной ультраструктурной организацией, с более выраженной</w:t>
      </w:r>
      <w:r w:rsidRPr="004120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секреторной активностью, что указывает на значительную  активацию</w:t>
      </w:r>
      <w:r w:rsidRPr="0089308D">
        <w:rPr>
          <w:rFonts w:ascii="Times New Roman" w:hAnsi="Times New Roman"/>
          <w:sz w:val="28"/>
          <w:szCs w:val="28"/>
          <w:lang w:eastAsia="ru-RU"/>
        </w:rPr>
        <w:t xml:space="preserve"> процесс</w:t>
      </w:r>
      <w:r>
        <w:rPr>
          <w:rFonts w:ascii="Times New Roman" w:hAnsi="Times New Roman"/>
          <w:sz w:val="28"/>
          <w:szCs w:val="28"/>
          <w:lang w:eastAsia="ru-RU"/>
        </w:rPr>
        <w:t xml:space="preserve">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фибриллогенеза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при этом варианте заболевания.  </w:t>
      </w:r>
      <w:proofErr w:type="gramEnd"/>
    </w:p>
    <w:p w:rsidR="00C703FE" w:rsidRDefault="00C703FE" w:rsidP="008C5AE5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296E81">
        <w:rPr>
          <w:rFonts w:ascii="Times New Roman" w:hAnsi="Times New Roman"/>
          <w:b/>
          <w:sz w:val="28"/>
          <w:szCs w:val="28"/>
          <w:lang w:eastAsia="ru-RU"/>
        </w:rPr>
        <w:t>ецидивирующи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296E81">
        <w:rPr>
          <w:rFonts w:ascii="Times New Roman" w:hAnsi="Times New Roman"/>
          <w:b/>
          <w:sz w:val="28"/>
          <w:szCs w:val="28"/>
          <w:lang w:eastAsia="ru-RU"/>
        </w:rPr>
        <w:t xml:space="preserve"> вариант ЭАА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выделен впервые. Его развитие отмечено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у 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AF3AC1">
        <w:rPr>
          <w:rFonts w:ascii="Times New Roman" w:hAnsi="Times New Roman"/>
          <w:sz w:val="28"/>
          <w:szCs w:val="28"/>
          <w:lang w:eastAsia="ru-RU"/>
        </w:rPr>
        <w:t>ранее излеченных пациентов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F3AC1">
        <w:rPr>
          <w:rFonts w:ascii="Times New Roman" w:hAnsi="Times New Roman"/>
          <w:sz w:val="28"/>
          <w:szCs w:val="28"/>
          <w:lang w:eastAsia="ru-RU"/>
        </w:rPr>
        <w:t>6 женщин и 2 мужчин в возрасте от 40 до 54 лет, которые прекрат</w:t>
      </w:r>
      <w:r>
        <w:rPr>
          <w:rFonts w:ascii="Times New Roman" w:hAnsi="Times New Roman"/>
          <w:sz w:val="28"/>
          <w:szCs w:val="28"/>
          <w:lang w:eastAsia="ru-RU"/>
        </w:rPr>
        <w:t>или контакт с причинным агентом и сохраняли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стабильное состояние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от полугода до 2 лет. </w:t>
      </w:r>
      <w:r>
        <w:rPr>
          <w:rFonts w:ascii="Times New Roman" w:hAnsi="Times New Roman"/>
          <w:sz w:val="28"/>
          <w:szCs w:val="28"/>
          <w:lang w:eastAsia="ru-RU"/>
        </w:rPr>
        <w:t>Рецидив заболевания возникал при повторном контакте с аллергеном,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50% случаев – с плесневыми и дрожжеподобными грибами. В клинической картине заболевания респираторные симптомы незначительной степени интенсивности сочетались с признаками интоксикации в равных пропорциях. </w:t>
      </w:r>
    </w:p>
    <w:p w:rsidR="00C703FE" w:rsidRDefault="00C703FE" w:rsidP="008C5AE5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AC1">
        <w:rPr>
          <w:rFonts w:ascii="Times New Roman" w:hAnsi="Times New Roman"/>
          <w:sz w:val="28"/>
          <w:szCs w:val="28"/>
          <w:lang w:eastAsia="ru-RU"/>
        </w:rPr>
        <w:t>Рецидивирующий вариант течения ЭАА можно определить как -  возникновение признаков болезни не менее чем через 6 месяцев после полного их исчезновения, которое расценивалось как выздоровление.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Определение уровня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преципитирующих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антител в крови этих пациентов оказалось неинформативным. </w:t>
      </w:r>
    </w:p>
    <w:p w:rsidR="00C703FE" w:rsidRDefault="00C703FE" w:rsidP="008C5AE5">
      <w:pPr>
        <w:ind w:left="0" w:right="-1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AF3AC1">
        <w:rPr>
          <w:rFonts w:ascii="Times New Roman" w:hAnsi="Times New Roman"/>
          <w:sz w:val="28"/>
          <w:szCs w:val="28"/>
          <w:lang w:eastAsia="ru-RU"/>
        </w:rPr>
        <w:t>арушение легочной функ</w:t>
      </w:r>
      <w:r>
        <w:rPr>
          <w:rFonts w:ascii="Times New Roman" w:hAnsi="Times New Roman"/>
          <w:sz w:val="28"/>
          <w:szCs w:val="28"/>
          <w:lang w:eastAsia="ru-RU"/>
        </w:rPr>
        <w:t>ции отмечено практически у всех пациентов, и выражалось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F3AC1">
        <w:rPr>
          <w:rFonts w:ascii="Times New Roman" w:hAnsi="Times New Roman"/>
          <w:sz w:val="28"/>
          <w:szCs w:val="28"/>
          <w:lang w:eastAsia="ru-RU"/>
        </w:rPr>
        <w:t>снижени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РаО</w:t>
      </w:r>
      <w:proofErr w:type="gramStart"/>
      <w:r w:rsidRPr="00AF3AC1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AF3AC1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всех </w:t>
      </w:r>
      <w:r w:rsidRPr="00AF3AC1">
        <w:rPr>
          <w:rFonts w:ascii="Times New Roman" w:hAnsi="Times New Roman"/>
          <w:sz w:val="28"/>
          <w:szCs w:val="28"/>
          <w:lang w:eastAsia="ru-RU"/>
        </w:rPr>
        <w:t>показателей бронхиальной проходимости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особенно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МСВ 25 (до 45,2±5,4% д.в</w:t>
      </w:r>
      <w:r w:rsidRPr="00AF3AC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). На КТВР  характерно  значительное распространение симптома «матового стекла» (от 25% до 90% от доли легкого) сочетающееся с интерстициальными изменениями в виде фиброзных плевропульмональных тяжей и утолщений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междолькового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интерстиция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понижения легочной плотности, что,  скорее всего, связано с возникновением острого процесса на фоне «скомпрометированной» легочной ткани в результате предыдущего эпизода заболевания. Данные КТВР находили свое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подтверждение </w:t>
      </w:r>
      <w:r w:rsidRPr="00D97D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D97DCA">
        <w:rPr>
          <w:rFonts w:ascii="Times New Roman" w:hAnsi="Times New Roman"/>
          <w:sz w:val="28"/>
          <w:szCs w:val="28"/>
          <w:lang w:eastAsia="ru-RU"/>
        </w:rPr>
        <w:t>морфо</w:t>
      </w:r>
      <w:r>
        <w:rPr>
          <w:rFonts w:ascii="Times New Roman" w:hAnsi="Times New Roman"/>
          <w:sz w:val="28"/>
          <w:szCs w:val="28"/>
          <w:lang w:eastAsia="ru-RU"/>
        </w:rPr>
        <w:t>логической картине дистальных отделов легкого</w:t>
      </w:r>
      <w:r>
        <w:rPr>
          <w:sz w:val="28"/>
          <w:szCs w:val="28"/>
        </w:rPr>
        <w:t xml:space="preserve">, где  </w:t>
      </w:r>
      <w:r w:rsidRPr="00D97DCA">
        <w:rPr>
          <w:rFonts w:ascii="Times New Roman" w:hAnsi="Times New Roman"/>
          <w:sz w:val="28"/>
          <w:szCs w:val="28"/>
          <w:lang w:eastAsia="ru-RU"/>
        </w:rPr>
        <w:t xml:space="preserve">на фоне фиброзных изменений появляются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свежие </w:t>
      </w:r>
      <w:proofErr w:type="spellStart"/>
      <w:r w:rsidRPr="00D97DCA">
        <w:rPr>
          <w:rFonts w:ascii="Times New Roman" w:hAnsi="Times New Roman"/>
          <w:sz w:val="28"/>
          <w:szCs w:val="28"/>
          <w:lang w:eastAsia="ru-RU"/>
        </w:rPr>
        <w:t>мононуклеарные</w:t>
      </w:r>
      <w:proofErr w:type="spellEnd"/>
      <w:r w:rsidRPr="00D97DCA">
        <w:rPr>
          <w:rFonts w:ascii="Times New Roman" w:hAnsi="Times New Roman"/>
          <w:sz w:val="28"/>
          <w:szCs w:val="28"/>
          <w:lang w:eastAsia="ru-RU"/>
        </w:rPr>
        <w:t xml:space="preserve"> инфильтраты с преобладанием лимфоцитов и плазматических клеток</w:t>
      </w:r>
      <w:r>
        <w:rPr>
          <w:rFonts w:ascii="Times New Roman" w:hAnsi="Times New Roman"/>
          <w:sz w:val="28"/>
          <w:szCs w:val="28"/>
          <w:lang w:eastAsia="ru-RU"/>
        </w:rPr>
        <w:t>, с небольшой примесью лейкоцитов, тучных клеток и многоядерных макрофагов.  Это свидетельствует об обострении процесса и согласуется с данными цитологического исследования БАЛ, где вновь возрастает содержание лимфоцитов (см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абл.1)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неактивированных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молодых макрофагов (см.таб.3).</w:t>
      </w:r>
      <w:r w:rsidRPr="00D97D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727F6D">
        <w:rPr>
          <w:rFonts w:ascii="Times New Roman" w:hAnsi="Times New Roman"/>
          <w:sz w:val="28"/>
          <w:szCs w:val="28"/>
          <w:lang w:eastAsia="ru-RU"/>
        </w:rPr>
        <w:t xml:space="preserve">реди зрелых фагоцитов определяются </w:t>
      </w:r>
      <w:proofErr w:type="spellStart"/>
      <w:r w:rsidRPr="00727F6D">
        <w:rPr>
          <w:rFonts w:ascii="Times New Roman" w:hAnsi="Times New Roman"/>
          <w:sz w:val="28"/>
          <w:szCs w:val="28"/>
          <w:lang w:eastAsia="ru-RU"/>
        </w:rPr>
        <w:t>липофаги</w:t>
      </w:r>
      <w:proofErr w:type="spellEnd"/>
      <w:r w:rsidRPr="00727F6D">
        <w:rPr>
          <w:rFonts w:ascii="Times New Roman" w:hAnsi="Times New Roman"/>
          <w:sz w:val="28"/>
          <w:szCs w:val="28"/>
          <w:lang w:eastAsia="ru-RU"/>
        </w:rPr>
        <w:t xml:space="preserve">, а также плазматические и тучные клетки; последние -  в стадии </w:t>
      </w:r>
      <w:proofErr w:type="spellStart"/>
      <w:r w:rsidRPr="00727F6D">
        <w:rPr>
          <w:rFonts w:ascii="Times New Roman" w:hAnsi="Times New Roman"/>
          <w:sz w:val="28"/>
          <w:szCs w:val="28"/>
          <w:lang w:eastAsia="ru-RU"/>
        </w:rPr>
        <w:t>дегрануляции</w:t>
      </w:r>
      <w:proofErr w:type="spellEnd"/>
      <w:r w:rsidRPr="00727F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</w:p>
    <w:p w:rsidR="00C703FE" w:rsidRPr="003E730F" w:rsidRDefault="00C703FE" w:rsidP="00E167FC">
      <w:pPr>
        <w:ind w:left="0" w:right="-1" w:firstLine="0"/>
        <w:rPr>
          <w:rFonts w:ascii="Times New Roman" w:hAnsi="Times New Roman"/>
          <w:b/>
          <w:sz w:val="32"/>
          <w:szCs w:val="32"/>
          <w:lang w:eastAsia="ru-RU"/>
        </w:rPr>
      </w:pPr>
      <w:r w:rsidRPr="003E730F">
        <w:rPr>
          <w:rFonts w:ascii="Times New Roman" w:hAnsi="Times New Roman"/>
          <w:b/>
          <w:sz w:val="32"/>
          <w:szCs w:val="32"/>
          <w:lang w:eastAsia="ru-RU"/>
        </w:rPr>
        <w:t>Особенности лечения больных с различными вариантами ЭАА.</w:t>
      </w:r>
    </w:p>
    <w:p w:rsidR="00C703FE" w:rsidRDefault="00C703FE" w:rsidP="00CE5DDA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учетом характера течения ЭАА были разработаны схемы комплексной терапии, дана оценка эффективности лечения  для каждого из выделенных вариантов. </w:t>
      </w:r>
    </w:p>
    <w:p w:rsidR="00C703FE" w:rsidRDefault="00C703FE" w:rsidP="00CE5DDA">
      <w:pPr>
        <w:ind w:left="0" w:right="-1" w:firstLine="567"/>
        <w:rPr>
          <w:rFonts w:ascii="Times New Roman" w:hAnsi="Times New Roman"/>
          <w:sz w:val="28"/>
          <w:szCs w:val="28"/>
          <w:lang w:eastAsia="ru-RU"/>
        </w:rPr>
      </w:pPr>
      <w:r w:rsidRPr="003E730F">
        <w:rPr>
          <w:rFonts w:ascii="Times New Roman" w:hAnsi="Times New Roman"/>
          <w:b/>
          <w:sz w:val="28"/>
          <w:szCs w:val="28"/>
          <w:lang w:eastAsia="ru-RU"/>
        </w:rPr>
        <w:t>Острый вариант ЭАА.</w:t>
      </w:r>
    </w:p>
    <w:p w:rsidR="00C703FE" w:rsidRDefault="00C703FE" w:rsidP="003E730F">
      <w:pPr>
        <w:ind w:left="0" w:right="-1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A34877">
        <w:rPr>
          <w:rFonts w:ascii="Times New Roman" w:hAnsi="Times New Roman"/>
          <w:sz w:val="28"/>
          <w:szCs w:val="28"/>
          <w:lang w:eastAsia="ru-RU"/>
        </w:rPr>
        <w:t>Все пациенты с острым вариантом ЭАА</w:t>
      </w:r>
      <w:r>
        <w:rPr>
          <w:rFonts w:ascii="Times New Roman" w:hAnsi="Times New Roman"/>
          <w:sz w:val="28"/>
          <w:szCs w:val="28"/>
          <w:lang w:eastAsia="ru-RU"/>
        </w:rPr>
        <w:t xml:space="preserve"> методом рандомизации разделены на две</w:t>
      </w:r>
      <w:r w:rsidRPr="00A34877">
        <w:rPr>
          <w:rFonts w:ascii="Times New Roman" w:hAnsi="Times New Roman"/>
          <w:sz w:val="28"/>
          <w:szCs w:val="28"/>
          <w:lang w:eastAsia="ru-RU"/>
        </w:rPr>
        <w:t xml:space="preserve"> группы: основную</w:t>
      </w:r>
      <w:r>
        <w:rPr>
          <w:rFonts w:ascii="Times New Roman" w:hAnsi="Times New Roman"/>
          <w:sz w:val="28"/>
          <w:szCs w:val="28"/>
          <w:lang w:eastAsia="ru-RU"/>
        </w:rPr>
        <w:t xml:space="preserve"> (1)</w:t>
      </w:r>
      <w:r w:rsidRPr="00A34877">
        <w:rPr>
          <w:rFonts w:ascii="Times New Roman" w:hAnsi="Times New Roman"/>
          <w:sz w:val="28"/>
          <w:szCs w:val="28"/>
          <w:lang w:eastAsia="ru-RU"/>
        </w:rPr>
        <w:t xml:space="preserve"> и контрольную</w:t>
      </w:r>
      <w:r>
        <w:rPr>
          <w:rFonts w:ascii="Times New Roman" w:hAnsi="Times New Roman"/>
          <w:sz w:val="28"/>
          <w:szCs w:val="28"/>
          <w:lang w:eastAsia="ru-RU"/>
        </w:rPr>
        <w:t xml:space="preserve"> (2)</w:t>
      </w:r>
      <w:r w:rsidRPr="00A3487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В 1 группу вошли 14 человек , 9 мужчин и 5 женщин, в возрасте от 23 до 73 лет (средний возраст  42,4</w:t>
      </w:r>
      <w:r w:rsidRPr="00AF3AC1">
        <w:rPr>
          <w:rFonts w:ascii="Times New Roman" w:hAnsi="Times New Roman"/>
          <w:sz w:val="28"/>
          <w:szCs w:val="28"/>
          <w:lang w:eastAsia="ru-RU"/>
        </w:rPr>
        <w:t>±</w:t>
      </w:r>
      <w:r>
        <w:rPr>
          <w:rFonts w:ascii="Times New Roman" w:hAnsi="Times New Roman"/>
          <w:sz w:val="28"/>
          <w:szCs w:val="28"/>
          <w:lang w:eastAsia="ru-RU"/>
        </w:rPr>
        <w:t>4,2 лет).</w:t>
      </w:r>
      <w:r w:rsidRPr="00AD0F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Больным 1 группы назначены высокие дозы ИГКС препарата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флютиказона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2500 мкг в сутки. Его применение сочеталось с регулярным использованием операций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плазмафереза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целью удаления из крови больных ЭАА циркулирующих иммунных комплексов, количество которых особенно высоко при  остром варианте заболевания.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Плазмаферез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выполняли 3 раза с интервалом в 7-8 дней</w:t>
      </w:r>
      <w:r w:rsidRPr="00AD0FC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F0C91">
        <w:rPr>
          <w:rFonts w:ascii="Times New Roman" w:hAnsi="Times New Roman"/>
          <w:sz w:val="28"/>
          <w:szCs w:val="24"/>
          <w:lang w:eastAsia="ru-RU"/>
        </w:rPr>
        <w:t>по общепринятой методике</w:t>
      </w:r>
      <w:r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Pr="001F0C91">
        <w:rPr>
          <w:rFonts w:ascii="Times New Roman" w:hAnsi="Times New Roman"/>
          <w:sz w:val="28"/>
          <w:szCs w:val="24"/>
          <w:lang w:eastAsia="ru-RU"/>
        </w:rPr>
        <w:t>За одну операцию удаляли 700-900 мл</w:t>
      </w:r>
      <w:proofErr w:type="gramStart"/>
      <w:r w:rsidRPr="001F0C91">
        <w:rPr>
          <w:rFonts w:ascii="Times New Roman" w:hAnsi="Times New Roman"/>
          <w:sz w:val="28"/>
          <w:szCs w:val="24"/>
          <w:lang w:eastAsia="ru-RU"/>
        </w:rPr>
        <w:t>.</w:t>
      </w:r>
      <w:proofErr w:type="gramEnd"/>
      <w:r w:rsidRPr="001F0C91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1F0C91">
        <w:rPr>
          <w:rFonts w:ascii="Times New Roman" w:hAnsi="Times New Roman"/>
          <w:sz w:val="28"/>
          <w:szCs w:val="24"/>
          <w:lang w:eastAsia="ru-RU"/>
        </w:rPr>
        <w:t>п</w:t>
      </w:r>
      <w:proofErr w:type="gramEnd"/>
      <w:r w:rsidRPr="001F0C91">
        <w:rPr>
          <w:rFonts w:ascii="Times New Roman" w:hAnsi="Times New Roman"/>
          <w:sz w:val="28"/>
          <w:szCs w:val="24"/>
          <w:lang w:eastAsia="ru-RU"/>
        </w:rPr>
        <w:t>лазмы.</w:t>
      </w:r>
      <w:r>
        <w:rPr>
          <w:rFonts w:ascii="Times New Roman" w:hAnsi="Times New Roman"/>
          <w:sz w:val="28"/>
          <w:szCs w:val="24"/>
          <w:lang w:eastAsia="ru-RU"/>
        </w:rPr>
        <w:t xml:space="preserve"> Больным 2 группы (контрольной) назначена стандартная терапия системными ГКС препаратами. Доза препарата в пересчете на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преднизолон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составляла 15 мг в сутки, в среднем 0,25 мг/кг.</w:t>
      </w:r>
      <w:r w:rsidRPr="00AD0FC7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Терапия в обеих группах продолжалась 1 месяц.</w:t>
      </w:r>
    </w:p>
    <w:p w:rsidR="00C703FE" w:rsidRDefault="00C703FE" w:rsidP="003E730F">
      <w:pPr>
        <w:ind w:left="0" w:right="-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После проведенной терапии получены сходные результаты обеих группах.  Достигнута выраженная положительная динамика показателей КИ и КТВР (</w:t>
      </w:r>
      <w:r w:rsidRPr="00D02522">
        <w:rPr>
          <w:rFonts w:ascii="Times New Roman" w:hAnsi="Times New Roman"/>
          <w:sz w:val="28"/>
          <w:szCs w:val="28"/>
          <w:lang w:eastAsia="ru-RU"/>
        </w:rPr>
        <w:t>табл. 4).</w:t>
      </w:r>
    </w:p>
    <w:p w:rsidR="00C703FE" w:rsidRPr="00E167FC" w:rsidRDefault="00C703FE" w:rsidP="00E167FC">
      <w:pPr>
        <w:ind w:left="0" w:right="-1" w:firstLine="0"/>
        <w:jc w:val="both"/>
        <w:rPr>
          <w:rFonts w:ascii="Arial Narrow" w:hAnsi="Arial Narrow"/>
          <w:sz w:val="24"/>
          <w:szCs w:val="28"/>
          <w:lang w:eastAsia="ru-RU"/>
        </w:rPr>
      </w:pPr>
      <w:r w:rsidRPr="00E167FC">
        <w:rPr>
          <w:rFonts w:ascii="Arial Narrow" w:hAnsi="Arial Narrow"/>
          <w:b/>
          <w:sz w:val="24"/>
          <w:szCs w:val="28"/>
          <w:lang w:eastAsia="ru-RU"/>
        </w:rPr>
        <w:t xml:space="preserve">Таблица 4. </w:t>
      </w:r>
      <w:r w:rsidRPr="00E167FC">
        <w:rPr>
          <w:rFonts w:ascii="Arial Narrow" w:hAnsi="Arial Narrow"/>
          <w:sz w:val="24"/>
          <w:szCs w:val="28"/>
          <w:lang w:eastAsia="ru-RU"/>
        </w:rPr>
        <w:t>Динамика показателей КИ и данных КТВР у больных острым ЭАА до и после лечения.</w:t>
      </w:r>
    </w:p>
    <w:tbl>
      <w:tblPr>
        <w:tblW w:w="9562" w:type="dxa"/>
        <w:tblInd w:w="95" w:type="dxa"/>
        <w:tblLook w:val="00A0"/>
      </w:tblPr>
      <w:tblGrid>
        <w:gridCol w:w="3447"/>
        <w:gridCol w:w="1342"/>
        <w:gridCol w:w="1643"/>
        <w:gridCol w:w="1519"/>
        <w:gridCol w:w="1611"/>
      </w:tblGrid>
      <w:tr w:rsidR="00C703FE" w:rsidRPr="00DB7FBE" w:rsidTr="00E167FC">
        <w:trPr>
          <w:trHeight w:val="638"/>
        </w:trPr>
        <w:tc>
          <w:tcPr>
            <w:tcW w:w="34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703FE" w:rsidRPr="00E167FC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E167F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3FE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7F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Острый вариант ЭАА, </w:t>
            </w:r>
          </w:p>
          <w:p w:rsidR="00C703FE" w:rsidRPr="00E167FC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7F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1-я группа (n=14)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703FE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7F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Острый вариант ЭАА,</w:t>
            </w:r>
          </w:p>
          <w:p w:rsidR="00C703FE" w:rsidRPr="00E167FC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7F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 xml:space="preserve"> 2-я группа (n=16)</w:t>
            </w:r>
          </w:p>
        </w:tc>
      </w:tr>
      <w:tr w:rsidR="00C703FE" w:rsidRPr="00DB7FBE" w:rsidTr="00E167FC">
        <w:trPr>
          <w:trHeight w:val="847"/>
        </w:trPr>
        <w:tc>
          <w:tcPr>
            <w:tcW w:w="34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703FE" w:rsidRPr="00E167FC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E167FC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E167F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 лечения (</w:t>
            </w:r>
            <w:proofErr w:type="spellStart"/>
            <w:r w:rsidRPr="00E167F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М±σ</w:t>
            </w:r>
            <w:proofErr w:type="spellEnd"/>
            <w:r w:rsidRPr="00E167F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E167FC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E167F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после лечения (</w:t>
            </w:r>
            <w:proofErr w:type="spellStart"/>
            <w:r w:rsidRPr="00E167F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М±σ</w:t>
            </w:r>
            <w:proofErr w:type="spellEnd"/>
            <w:r w:rsidRPr="00E167F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E167FC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E167F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до лечения (</w:t>
            </w:r>
            <w:proofErr w:type="spellStart"/>
            <w:r w:rsidRPr="00E167F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М±σ</w:t>
            </w:r>
            <w:proofErr w:type="spellEnd"/>
            <w:r w:rsidRPr="00E167F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3FE" w:rsidRPr="00E167FC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E167F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после лечения (</w:t>
            </w:r>
            <w:proofErr w:type="spellStart"/>
            <w:r w:rsidRPr="00E167F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М±σ</w:t>
            </w:r>
            <w:proofErr w:type="spellEnd"/>
            <w:r w:rsidRPr="00E167FC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703FE" w:rsidRPr="00DB7FBE" w:rsidTr="00E167FC">
        <w:trPr>
          <w:trHeight w:val="295"/>
        </w:trPr>
        <w:tc>
          <w:tcPr>
            <w:tcW w:w="3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кум</w:t>
            </w:r>
            <w:proofErr w:type="gramStart"/>
            <w:r w:rsidRPr="00A569CA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569CA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69CA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569CA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ндекс (баллы)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2.2±0.3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0.9±0.2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2.3±0.2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0.9±0.2</w:t>
            </w:r>
          </w:p>
        </w:tc>
      </w:tr>
      <w:tr w:rsidR="00C703FE" w:rsidRPr="00DB7FBE" w:rsidTr="00E167FC">
        <w:trPr>
          <w:trHeight w:val="307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"матовое стекло" КТВР  (баллы)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3.0±0.3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1.64±0.3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3.1±0.2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1.6±0.2</w:t>
            </w:r>
          </w:p>
        </w:tc>
      </w:tr>
    </w:tbl>
    <w:p w:rsidR="00C703FE" w:rsidRDefault="00C703FE" w:rsidP="003E730F">
      <w:pPr>
        <w:ind w:left="0" w:right="-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Получено достоверное  увеличение большинства показателей функции легких, как в основной, так и в контрольной группе; в последней повышение МСВ 50 было выражено в большей степени (табл.5). </w:t>
      </w:r>
      <w:proofErr w:type="gramEnd"/>
    </w:p>
    <w:p w:rsidR="00C703FE" w:rsidRPr="00E167FC" w:rsidRDefault="00C703FE" w:rsidP="00E167FC">
      <w:pPr>
        <w:ind w:left="0" w:right="-1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167FC">
        <w:rPr>
          <w:rFonts w:ascii="Times New Roman" w:hAnsi="Times New Roman"/>
          <w:b/>
          <w:sz w:val="24"/>
          <w:szCs w:val="28"/>
          <w:lang w:eastAsia="ru-RU"/>
        </w:rPr>
        <w:t xml:space="preserve">Таблица 5. </w:t>
      </w:r>
      <w:r w:rsidRPr="00E167FC">
        <w:rPr>
          <w:rFonts w:ascii="Times New Roman" w:hAnsi="Times New Roman"/>
          <w:sz w:val="24"/>
          <w:szCs w:val="28"/>
          <w:lang w:eastAsia="ru-RU"/>
        </w:rPr>
        <w:t xml:space="preserve">Показатели функции лёгких у больных </w:t>
      </w:r>
      <w:proofErr w:type="gramStart"/>
      <w:r w:rsidRPr="00E167FC">
        <w:rPr>
          <w:rFonts w:ascii="Times New Roman" w:hAnsi="Times New Roman"/>
          <w:sz w:val="24"/>
          <w:szCs w:val="28"/>
          <w:lang w:eastAsia="ru-RU"/>
        </w:rPr>
        <w:t>острым</w:t>
      </w:r>
      <w:proofErr w:type="gramEnd"/>
      <w:r w:rsidRPr="00E167FC">
        <w:rPr>
          <w:rFonts w:ascii="Times New Roman" w:hAnsi="Times New Roman"/>
          <w:sz w:val="24"/>
          <w:szCs w:val="28"/>
          <w:lang w:eastAsia="ru-RU"/>
        </w:rPr>
        <w:t xml:space="preserve"> ЭАА до и после лечения.</w:t>
      </w:r>
    </w:p>
    <w:tbl>
      <w:tblPr>
        <w:tblW w:w="9433" w:type="dxa"/>
        <w:tblInd w:w="93" w:type="dxa"/>
        <w:tblLook w:val="00A0"/>
      </w:tblPr>
      <w:tblGrid>
        <w:gridCol w:w="1716"/>
        <w:gridCol w:w="1200"/>
        <w:gridCol w:w="1494"/>
        <w:gridCol w:w="1086"/>
        <w:gridCol w:w="960"/>
        <w:gridCol w:w="1497"/>
        <w:gridCol w:w="1480"/>
      </w:tblGrid>
      <w:tr w:rsidR="00C703FE" w:rsidRPr="00DB7FBE" w:rsidTr="00580893">
        <w:trPr>
          <w:trHeight w:val="288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функциональные показатели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Острый вариант ЭАА, 1-я группа (n=14)</w:t>
            </w:r>
          </w:p>
        </w:tc>
        <w:tc>
          <w:tcPr>
            <w:tcW w:w="39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Острый вариант ЭАА, 2-я группа (n=16)</w:t>
            </w:r>
          </w:p>
        </w:tc>
      </w:tr>
      <w:tr w:rsidR="00C703FE" w:rsidRPr="00DB7FBE" w:rsidTr="00580893">
        <w:trPr>
          <w:trHeight w:val="564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до лечения (</w:t>
            </w:r>
            <w:proofErr w:type="spellStart"/>
            <w:r w:rsidRPr="001E17C0">
              <w:rPr>
                <w:rFonts w:ascii="Arial Narrow" w:hAnsi="Arial Narrow"/>
                <w:color w:val="000000"/>
                <w:lang w:eastAsia="ru-RU"/>
              </w:rPr>
              <w:t>М±σ</w:t>
            </w:r>
            <w:proofErr w:type="spellEnd"/>
            <w:r w:rsidRPr="001E17C0">
              <w:rPr>
                <w:rFonts w:ascii="Arial Narrow" w:hAnsi="Arial Narrow"/>
                <w:color w:val="000000"/>
                <w:lang w:eastAsia="ru-RU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после лечения (</w:t>
            </w:r>
            <w:proofErr w:type="spellStart"/>
            <w:r w:rsidRPr="001E17C0">
              <w:rPr>
                <w:rFonts w:ascii="Arial Narrow" w:hAnsi="Arial Narrow"/>
                <w:color w:val="000000"/>
                <w:lang w:eastAsia="ru-RU"/>
              </w:rPr>
              <w:t>М±σ</w:t>
            </w:r>
            <w:proofErr w:type="spellEnd"/>
            <w:r w:rsidRPr="001E17C0">
              <w:rPr>
                <w:rFonts w:ascii="Arial Narrow" w:hAnsi="Arial Narrow"/>
                <w:color w:val="000000"/>
                <w:lang w:eastAsia="ru-RU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proofErr w:type="gramStart"/>
            <w:r w:rsidRPr="001E17C0">
              <w:rPr>
                <w:rFonts w:ascii="Arial Narrow" w:hAnsi="Arial Narrow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до лечения (</w:t>
            </w:r>
            <w:proofErr w:type="spellStart"/>
            <w:r w:rsidRPr="001E17C0">
              <w:rPr>
                <w:rFonts w:ascii="Arial Narrow" w:hAnsi="Arial Narrow"/>
                <w:color w:val="000000"/>
                <w:lang w:eastAsia="ru-RU"/>
              </w:rPr>
              <w:t>М±σ</w:t>
            </w:r>
            <w:proofErr w:type="spellEnd"/>
            <w:r w:rsidRPr="001E17C0">
              <w:rPr>
                <w:rFonts w:ascii="Arial Narrow" w:hAnsi="Arial Narrow"/>
                <w:color w:val="000000"/>
                <w:lang w:eastAsia="ru-RU"/>
              </w:rPr>
              <w:t>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после лечения (</w:t>
            </w:r>
            <w:proofErr w:type="spellStart"/>
            <w:r w:rsidRPr="001E17C0">
              <w:rPr>
                <w:rFonts w:ascii="Arial Narrow" w:hAnsi="Arial Narrow"/>
                <w:color w:val="000000"/>
                <w:lang w:eastAsia="ru-RU"/>
              </w:rPr>
              <w:t>М±σ</w:t>
            </w:r>
            <w:proofErr w:type="spellEnd"/>
            <w:r w:rsidRPr="001E17C0">
              <w:rPr>
                <w:rFonts w:ascii="Arial Narrow" w:hAnsi="Arial Narrow"/>
                <w:color w:val="000000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proofErr w:type="gramStart"/>
            <w:r w:rsidRPr="001E17C0">
              <w:rPr>
                <w:rFonts w:ascii="Arial Narrow" w:hAnsi="Arial Narrow"/>
                <w:color w:val="000000"/>
                <w:lang w:eastAsia="ru-RU"/>
              </w:rPr>
              <w:t>Р</w:t>
            </w:r>
            <w:proofErr w:type="gramEnd"/>
          </w:p>
        </w:tc>
      </w:tr>
      <w:tr w:rsidR="00C703FE" w:rsidRPr="00DB7FBE" w:rsidTr="00580893">
        <w:trPr>
          <w:trHeight w:val="28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ЖЕЛ % д.в.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64.7±5.1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93.4±4.6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&lt;0.01**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69.1±4.8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102.0±5.0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&lt;0.01**</w:t>
            </w:r>
          </w:p>
        </w:tc>
      </w:tr>
      <w:tr w:rsidR="00C703FE" w:rsidRPr="00DB7FBE" w:rsidTr="00580893">
        <w:trPr>
          <w:trHeight w:val="28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ОФВ</w:t>
            </w:r>
            <w:proofErr w:type="gramStart"/>
            <w:r w:rsidRPr="001E17C0">
              <w:rPr>
                <w:rFonts w:ascii="Arial Narrow" w:hAnsi="Arial Narrow"/>
                <w:color w:val="000000"/>
                <w:lang w:eastAsia="ru-RU"/>
              </w:rPr>
              <w:t>1</w:t>
            </w:r>
            <w:proofErr w:type="gramEnd"/>
            <w:r w:rsidRPr="001E17C0">
              <w:rPr>
                <w:rFonts w:ascii="Arial Narrow" w:hAnsi="Arial Narrow"/>
                <w:color w:val="000000"/>
                <w:lang w:eastAsia="ru-RU"/>
              </w:rPr>
              <w:t xml:space="preserve"> % д.в.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64.3±3.6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103.4±4.8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&lt;0.01**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67.0±4.5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98.6±4.3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&lt;0.05*</w:t>
            </w:r>
          </w:p>
        </w:tc>
      </w:tr>
      <w:tr w:rsidR="00C703FE" w:rsidRPr="00DB7FBE" w:rsidTr="00580893">
        <w:trPr>
          <w:trHeight w:val="28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МСВ75 % д.в.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46.6±6.3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63.1±8.9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64.7±8.3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69.9±7.7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proofErr w:type="gramStart"/>
            <w:r w:rsidRPr="001E17C0">
              <w:rPr>
                <w:rFonts w:ascii="Arial Narrow" w:hAnsi="Arial Narrow"/>
                <w:color w:val="000000"/>
                <w:lang w:eastAsia="ru-RU"/>
              </w:rPr>
              <w:t>Р</w:t>
            </w:r>
            <w:proofErr w:type="gramEnd"/>
            <w:r w:rsidRPr="001E17C0">
              <w:rPr>
                <w:rFonts w:ascii="Arial Narrow" w:hAnsi="Arial Narrow"/>
                <w:color w:val="000000"/>
                <w:lang w:eastAsia="ru-RU"/>
              </w:rPr>
              <w:t>&gt;0.05</w:t>
            </w:r>
          </w:p>
        </w:tc>
      </w:tr>
      <w:tr w:rsidR="00C703FE" w:rsidRPr="00DB7FBE" w:rsidTr="00580893">
        <w:trPr>
          <w:trHeight w:val="28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МСВ50 % д</w:t>
            </w:r>
            <w:proofErr w:type="gramStart"/>
            <w:r w:rsidRPr="001E17C0">
              <w:rPr>
                <w:rFonts w:ascii="Arial Narrow" w:hAnsi="Arial Narrow"/>
                <w:color w:val="000000"/>
                <w:lang w:eastAsia="ru-RU"/>
              </w:rPr>
              <w:t>.в</w:t>
            </w:r>
            <w:proofErr w:type="gram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52.4±3.0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67.3±6.9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52.4±3.0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100.8±6.8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&lt;0.01**</w:t>
            </w:r>
          </w:p>
        </w:tc>
      </w:tr>
      <w:tr w:rsidR="00C703FE" w:rsidRPr="00DB7FBE" w:rsidTr="00580893">
        <w:trPr>
          <w:trHeight w:val="28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МСВ25 % д</w:t>
            </w:r>
            <w:proofErr w:type="gramStart"/>
            <w:r w:rsidRPr="001E17C0">
              <w:rPr>
                <w:rFonts w:ascii="Arial Narrow" w:hAnsi="Arial Narrow"/>
                <w:color w:val="000000"/>
                <w:lang w:eastAsia="ru-RU"/>
              </w:rPr>
              <w:t>.в</w:t>
            </w:r>
            <w:proofErr w:type="gram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62.6±3.8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104.1±8.3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&lt;0.01**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70.5±5.0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111.8±5.8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&lt;0.05*</w:t>
            </w:r>
          </w:p>
        </w:tc>
      </w:tr>
      <w:tr w:rsidR="00C703FE" w:rsidRPr="00DB7FBE" w:rsidTr="00580893">
        <w:trPr>
          <w:trHeight w:val="28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DLCO % д.в.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72.1±3.2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97.9±2.5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69.4±1.9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88.8±1.9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&lt;0.05*</w:t>
            </w:r>
          </w:p>
        </w:tc>
      </w:tr>
      <w:tr w:rsidR="00C703FE" w:rsidRPr="00DB7FBE" w:rsidTr="00580893">
        <w:trPr>
          <w:trHeight w:val="28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DLCO/VA % д.в.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74.2±3.0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78.6±4.0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proofErr w:type="gramStart"/>
            <w:r w:rsidRPr="001E17C0">
              <w:rPr>
                <w:rFonts w:ascii="Arial Narrow" w:hAnsi="Arial Narrow"/>
                <w:color w:val="000000"/>
                <w:lang w:eastAsia="ru-RU"/>
              </w:rPr>
              <w:t>Р</w:t>
            </w:r>
            <w:proofErr w:type="gramEnd"/>
            <w:r w:rsidRPr="001E17C0">
              <w:rPr>
                <w:rFonts w:ascii="Arial Narrow" w:hAnsi="Arial Narrow"/>
                <w:color w:val="000000"/>
                <w:lang w:eastAsia="ru-RU"/>
              </w:rPr>
              <w:t>&gt;0.05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72.7±1.5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82.0±3.7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proofErr w:type="gramStart"/>
            <w:r w:rsidRPr="001E17C0">
              <w:rPr>
                <w:rFonts w:ascii="Arial Narrow" w:hAnsi="Arial Narrow"/>
                <w:color w:val="000000"/>
                <w:lang w:eastAsia="ru-RU"/>
              </w:rPr>
              <w:t>Р</w:t>
            </w:r>
            <w:proofErr w:type="gramEnd"/>
            <w:r w:rsidRPr="001E17C0">
              <w:rPr>
                <w:rFonts w:ascii="Arial Narrow" w:hAnsi="Arial Narrow"/>
                <w:color w:val="000000"/>
                <w:lang w:eastAsia="ru-RU"/>
              </w:rPr>
              <w:t>&gt;0.05</w:t>
            </w:r>
          </w:p>
        </w:tc>
      </w:tr>
      <w:tr w:rsidR="00C703FE" w:rsidRPr="00DB7FBE" w:rsidTr="00580893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 xml:space="preserve">PO2 </w:t>
            </w:r>
            <w:proofErr w:type="spellStart"/>
            <w:r w:rsidRPr="001E17C0">
              <w:rPr>
                <w:rFonts w:ascii="Arial Narrow" w:hAnsi="Arial Narrow"/>
                <w:color w:val="000000"/>
                <w:lang w:eastAsia="ru-RU"/>
              </w:rPr>
              <w:t>мм</w:t>
            </w:r>
            <w:proofErr w:type="gramStart"/>
            <w:r w:rsidRPr="001E17C0">
              <w:rPr>
                <w:rFonts w:ascii="Arial Narrow" w:hAnsi="Arial Narrow"/>
                <w:color w:val="000000"/>
                <w:lang w:eastAsia="ru-RU"/>
              </w:rPr>
              <w:t>.р</w:t>
            </w:r>
            <w:proofErr w:type="gramEnd"/>
            <w:r w:rsidRPr="001E17C0">
              <w:rPr>
                <w:rFonts w:ascii="Arial Narrow" w:hAnsi="Arial Narrow"/>
                <w:color w:val="000000"/>
                <w:lang w:eastAsia="ru-RU"/>
              </w:rPr>
              <w:t>т.ст</w:t>
            </w:r>
            <w:proofErr w:type="spellEnd"/>
            <w:r w:rsidRPr="001E17C0">
              <w:rPr>
                <w:rFonts w:ascii="Arial Narrow" w:hAnsi="Arial Narrow"/>
                <w:color w:val="000000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71.5±1.3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85.4±1.3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66.5±1.3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jc w:val="right"/>
              <w:rPr>
                <w:rFonts w:ascii="Arial Narrow" w:hAnsi="Arial Narrow"/>
                <w:color w:val="000000"/>
                <w:lang w:eastAsia="ru-RU"/>
              </w:rPr>
            </w:pPr>
            <w:r w:rsidRPr="001E17C0">
              <w:rPr>
                <w:rFonts w:ascii="Arial Narrow" w:hAnsi="Arial Narrow"/>
                <w:color w:val="000000"/>
                <w:lang w:eastAsia="ru-RU"/>
              </w:rPr>
              <w:t>83.7±1.6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03FE" w:rsidRPr="001E17C0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1E17C0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&lt;0.05*</w:t>
            </w:r>
          </w:p>
        </w:tc>
      </w:tr>
    </w:tbl>
    <w:p w:rsidR="00C703FE" w:rsidRDefault="00C703FE" w:rsidP="003E730F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обеих группах без существенных изменений осталась величина показателя </w:t>
      </w:r>
      <w:r>
        <w:rPr>
          <w:rFonts w:ascii="Times New Roman" w:hAnsi="Times New Roman"/>
          <w:sz w:val="28"/>
          <w:szCs w:val="28"/>
          <w:lang w:val="en-US" w:eastAsia="ru-RU"/>
        </w:rPr>
        <w:t>DLCO</w:t>
      </w:r>
      <w:r w:rsidRPr="006B09C2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val="en-US" w:eastAsia="ru-RU"/>
        </w:rPr>
        <w:t>VA</w:t>
      </w:r>
      <w:r>
        <w:rPr>
          <w:rFonts w:ascii="Times New Roman" w:hAnsi="Times New Roman"/>
          <w:sz w:val="28"/>
          <w:szCs w:val="28"/>
          <w:lang w:eastAsia="ru-RU"/>
        </w:rPr>
        <w:t xml:space="preserve">. В группе пациентов получающих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монотерапию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системными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ГКС, в 18,2% случаев отмечены нежелательные побочные реакции: декомпенсация сахарного диабета, развитие артериальной гипертензии, язвенное поражении ЖКТ, тромбоз вен нижних конечностей, что не наблюдалось в основной группе. Поэтому предложенная схема лечения с использованием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флютиказона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комбинации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плазмаферезами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может служить альтернативой системной ГКС терапии при остром варианте ЭАА, особенно у пациентов с наличием сопутствующих заболеваний.</w:t>
      </w:r>
    </w:p>
    <w:p w:rsidR="00C703FE" w:rsidRDefault="00C703FE" w:rsidP="003E730F">
      <w:pPr>
        <w:ind w:left="0" w:right="-1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C703FE" w:rsidRDefault="00C703FE" w:rsidP="003E730F">
      <w:pPr>
        <w:ind w:left="0" w:right="-1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C703FE" w:rsidRDefault="00C703FE" w:rsidP="003E730F">
      <w:pPr>
        <w:ind w:left="0" w:right="-1" w:firstLine="567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3E730F">
        <w:rPr>
          <w:rFonts w:ascii="Times New Roman" w:hAnsi="Times New Roman"/>
          <w:b/>
          <w:sz w:val="28"/>
          <w:szCs w:val="28"/>
          <w:lang w:eastAsia="ru-RU"/>
        </w:rPr>
        <w:t>Подострый</w:t>
      </w:r>
      <w:proofErr w:type="spellEnd"/>
      <w:r w:rsidRPr="003E730F">
        <w:rPr>
          <w:rFonts w:ascii="Times New Roman" w:hAnsi="Times New Roman"/>
          <w:b/>
          <w:sz w:val="28"/>
          <w:szCs w:val="28"/>
          <w:lang w:eastAsia="ru-RU"/>
        </w:rPr>
        <w:t xml:space="preserve"> вариант ЭАА.</w:t>
      </w:r>
    </w:p>
    <w:p w:rsidR="00C703FE" w:rsidRPr="00F1431F" w:rsidRDefault="00C703FE" w:rsidP="00060BF0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31F">
        <w:rPr>
          <w:rFonts w:ascii="Times New Roman" w:hAnsi="Times New Roman"/>
          <w:sz w:val="28"/>
          <w:szCs w:val="28"/>
          <w:lang w:eastAsia="ru-RU"/>
        </w:rPr>
        <w:t xml:space="preserve">Все </w:t>
      </w:r>
      <w:r>
        <w:rPr>
          <w:rFonts w:ascii="Times New Roman" w:hAnsi="Times New Roman"/>
          <w:sz w:val="28"/>
          <w:szCs w:val="28"/>
          <w:lang w:eastAsia="ru-RU"/>
        </w:rPr>
        <w:t xml:space="preserve">43 пациента </w:t>
      </w:r>
      <w:r w:rsidRPr="00F1431F">
        <w:rPr>
          <w:rFonts w:ascii="Times New Roman" w:hAnsi="Times New Roman"/>
          <w:sz w:val="28"/>
          <w:szCs w:val="28"/>
          <w:lang w:eastAsia="ru-RU"/>
        </w:rPr>
        <w:t xml:space="preserve">с </w:t>
      </w:r>
      <w:proofErr w:type="spellStart"/>
      <w:r w:rsidRPr="00F1431F">
        <w:rPr>
          <w:rFonts w:ascii="Times New Roman" w:hAnsi="Times New Roman"/>
          <w:sz w:val="28"/>
          <w:szCs w:val="28"/>
          <w:lang w:eastAsia="ru-RU"/>
        </w:rPr>
        <w:t>подострым</w:t>
      </w:r>
      <w:proofErr w:type="spellEnd"/>
      <w:r w:rsidRPr="00F1431F">
        <w:rPr>
          <w:rFonts w:ascii="Times New Roman" w:hAnsi="Times New Roman"/>
          <w:sz w:val="28"/>
          <w:szCs w:val="28"/>
          <w:lang w:eastAsia="ru-RU"/>
        </w:rPr>
        <w:t xml:space="preserve"> вариантом ЭАА </w:t>
      </w:r>
      <w:r>
        <w:rPr>
          <w:rFonts w:ascii="Times New Roman" w:hAnsi="Times New Roman"/>
          <w:sz w:val="28"/>
          <w:szCs w:val="28"/>
          <w:lang w:eastAsia="ru-RU"/>
        </w:rPr>
        <w:t xml:space="preserve"> так же </w:t>
      </w:r>
      <w:r w:rsidRPr="00F1431F">
        <w:rPr>
          <w:rFonts w:ascii="Times New Roman" w:hAnsi="Times New Roman"/>
          <w:sz w:val="28"/>
          <w:szCs w:val="28"/>
          <w:lang w:eastAsia="ru-RU"/>
        </w:rPr>
        <w:t>разд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1431F">
        <w:rPr>
          <w:rFonts w:ascii="Times New Roman" w:hAnsi="Times New Roman"/>
          <w:sz w:val="28"/>
          <w:szCs w:val="28"/>
          <w:lang w:eastAsia="ru-RU"/>
        </w:rPr>
        <w:t>лены на 2 группы</w:t>
      </w:r>
      <w:r>
        <w:rPr>
          <w:rFonts w:ascii="Times New Roman" w:hAnsi="Times New Roman"/>
          <w:sz w:val="28"/>
          <w:szCs w:val="28"/>
          <w:lang w:eastAsia="ru-RU"/>
        </w:rPr>
        <w:t>: основную  (3) и контрольную (4). В основную группу вошли 24 человека: 6 мужчин и 18 женщин, в возрасте от 23 до 73 лет (средний возраст 51,4</w:t>
      </w:r>
      <w:r w:rsidRPr="00AF3AC1">
        <w:rPr>
          <w:rFonts w:ascii="Times New Roman" w:hAnsi="Times New Roman"/>
          <w:sz w:val="28"/>
          <w:szCs w:val="28"/>
          <w:lang w:eastAsia="ru-RU"/>
        </w:rPr>
        <w:t>±</w:t>
      </w:r>
      <w:r>
        <w:rPr>
          <w:rFonts w:ascii="Times New Roman" w:hAnsi="Times New Roman"/>
          <w:sz w:val="28"/>
          <w:szCs w:val="28"/>
          <w:lang w:eastAsia="ru-RU"/>
        </w:rPr>
        <w:t xml:space="preserve">2,6 лет). Им предложена новая схема терапии,  которая заключалась в  применении длительных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небулайзерных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ингаляций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амброксолом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(15 мг/сутки) 2 раза в день в сочетании со сниженной дозой системных ГКС 10 мг/сутки (в пересчете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преднизолон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  <w:r w:rsidRPr="00F143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Пациентам 4 группы (контрольной) проводилась стандартная терапия системными кортикостероидными препаратами в дозе 20 мг в сутки. В эту группу вошли 19 человек: 8 мужчин и 11 женщин, в возрасте от 22 до 66 лет (средний возраст 45,9</w:t>
      </w:r>
      <w:r w:rsidRPr="00E368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AC1">
        <w:rPr>
          <w:rFonts w:ascii="Times New Roman" w:hAnsi="Times New Roman"/>
          <w:sz w:val="28"/>
          <w:szCs w:val="28"/>
          <w:lang w:eastAsia="ru-RU"/>
        </w:rPr>
        <w:t>±</w:t>
      </w:r>
      <w:r>
        <w:rPr>
          <w:rFonts w:ascii="Times New Roman" w:hAnsi="Times New Roman"/>
          <w:sz w:val="28"/>
          <w:szCs w:val="28"/>
          <w:lang w:eastAsia="ru-RU"/>
        </w:rPr>
        <w:t>3,1 лет). Терапия в обеих группах продолжалась 2 месяца.</w:t>
      </w:r>
      <w:r w:rsidRPr="001213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03FE" w:rsidRDefault="00C703FE" w:rsidP="00060BF0">
      <w:pPr>
        <w:ind w:left="0" w:right="-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  проведенного наблюдения установлено, что клиническая картина заболевания, включая толерантность к физической нагрузке, динамика КИ и  данных КТВР (в виде уменьшения площади распространения диссеминации и симптома «матового стекла») улучшились в обеих группах (т</w:t>
      </w:r>
      <w:r w:rsidRPr="00F06A1B">
        <w:rPr>
          <w:rFonts w:ascii="Times New Roman" w:hAnsi="Times New Roman"/>
          <w:sz w:val="28"/>
          <w:szCs w:val="28"/>
          <w:lang w:eastAsia="ru-RU"/>
        </w:rPr>
        <w:t>абл.6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C703FE" w:rsidRDefault="00C703FE" w:rsidP="00E167FC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Показатели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газообменной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функции легких (</w:t>
      </w:r>
      <w:r>
        <w:rPr>
          <w:rFonts w:ascii="Times New Roman" w:hAnsi="Times New Roman"/>
          <w:sz w:val="28"/>
          <w:szCs w:val="28"/>
          <w:lang w:val="en-US" w:eastAsia="ru-RU"/>
        </w:rPr>
        <w:t>DLCO</w:t>
      </w:r>
      <w:r>
        <w:rPr>
          <w:rFonts w:ascii="Times New Roman" w:hAnsi="Times New Roman"/>
          <w:sz w:val="28"/>
          <w:szCs w:val="28"/>
          <w:lang w:eastAsia="ru-RU"/>
        </w:rPr>
        <w:t>, РаО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) достоверно возросли только  у лиц 3 группы (табл.7). </w:t>
      </w:r>
    </w:p>
    <w:p w:rsidR="00C703FE" w:rsidRPr="00A569CA" w:rsidRDefault="00C703FE" w:rsidP="00A569CA">
      <w:pPr>
        <w:ind w:left="0" w:right="-1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69CA">
        <w:rPr>
          <w:rFonts w:ascii="Times New Roman" w:hAnsi="Times New Roman"/>
          <w:b/>
          <w:sz w:val="24"/>
          <w:szCs w:val="28"/>
          <w:lang w:eastAsia="ru-RU"/>
        </w:rPr>
        <w:t>Таблица 6.</w:t>
      </w:r>
      <w:r w:rsidRPr="00A569CA">
        <w:rPr>
          <w:rFonts w:ascii="Times New Roman" w:hAnsi="Times New Roman"/>
          <w:sz w:val="24"/>
          <w:szCs w:val="28"/>
          <w:lang w:eastAsia="ru-RU"/>
        </w:rPr>
        <w:t xml:space="preserve"> Динамика КИ и данных КТВР у больных </w:t>
      </w:r>
      <w:proofErr w:type="spellStart"/>
      <w:r w:rsidRPr="00A569CA">
        <w:rPr>
          <w:rFonts w:ascii="Times New Roman" w:hAnsi="Times New Roman"/>
          <w:sz w:val="24"/>
          <w:szCs w:val="28"/>
          <w:lang w:eastAsia="ru-RU"/>
        </w:rPr>
        <w:t>подочтрым</w:t>
      </w:r>
      <w:proofErr w:type="spellEnd"/>
      <w:r w:rsidRPr="00A569CA">
        <w:rPr>
          <w:rFonts w:ascii="Times New Roman" w:hAnsi="Times New Roman"/>
          <w:sz w:val="24"/>
          <w:szCs w:val="28"/>
          <w:lang w:eastAsia="ru-RU"/>
        </w:rPr>
        <w:t xml:space="preserve"> ЭАА до и после лечения.</w:t>
      </w:r>
    </w:p>
    <w:tbl>
      <w:tblPr>
        <w:tblW w:w="9505" w:type="dxa"/>
        <w:tblInd w:w="93" w:type="dxa"/>
        <w:tblLook w:val="00A0"/>
      </w:tblPr>
      <w:tblGrid>
        <w:gridCol w:w="3429"/>
        <w:gridCol w:w="1519"/>
        <w:gridCol w:w="1519"/>
        <w:gridCol w:w="1519"/>
        <w:gridCol w:w="1519"/>
      </w:tblGrid>
      <w:tr w:rsidR="00C703FE" w:rsidRPr="00DB7FBE" w:rsidTr="00A569CA">
        <w:trPr>
          <w:trHeight w:val="635"/>
        </w:trPr>
        <w:tc>
          <w:tcPr>
            <w:tcW w:w="34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703FE" w:rsidRPr="005932A9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5932A9">
              <w:rPr>
                <w:rFonts w:ascii="Arial Narrow" w:hAnsi="Arial Narrow"/>
                <w:color w:val="000000"/>
                <w:lang w:eastAsia="ru-RU"/>
              </w:rPr>
              <w:t>показатели</w:t>
            </w:r>
          </w:p>
        </w:tc>
        <w:tc>
          <w:tcPr>
            <w:tcW w:w="30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3FE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spellStart"/>
            <w:r w:rsidRPr="005932A9">
              <w:rPr>
                <w:rFonts w:ascii="Arial Narrow" w:hAnsi="Arial Narrow"/>
                <w:b/>
                <w:bCs/>
                <w:color w:val="000000"/>
                <w:lang w:eastAsia="ru-RU"/>
              </w:rPr>
              <w:t>Подострый</w:t>
            </w:r>
            <w:proofErr w:type="spellEnd"/>
            <w:r w:rsidRPr="005932A9">
              <w:rPr>
                <w:rFonts w:ascii="Arial Narrow" w:hAnsi="Arial Narrow"/>
                <w:b/>
                <w:bCs/>
                <w:color w:val="000000"/>
                <w:lang w:eastAsia="ru-RU"/>
              </w:rPr>
              <w:t xml:space="preserve"> вариант ЭАА, </w:t>
            </w:r>
          </w:p>
          <w:p w:rsidR="00C703FE" w:rsidRPr="005932A9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5932A9">
              <w:rPr>
                <w:rFonts w:ascii="Arial Narrow" w:hAnsi="Arial Narrow"/>
                <w:b/>
                <w:bCs/>
                <w:color w:val="000000"/>
                <w:lang w:eastAsia="ru-RU"/>
              </w:rPr>
              <w:t>3-я группа (n=24)</w:t>
            </w:r>
          </w:p>
        </w:tc>
        <w:tc>
          <w:tcPr>
            <w:tcW w:w="30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703FE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spellStart"/>
            <w:r w:rsidRPr="005932A9">
              <w:rPr>
                <w:rFonts w:ascii="Arial Narrow" w:hAnsi="Arial Narrow"/>
                <w:b/>
                <w:bCs/>
                <w:color w:val="000000"/>
                <w:lang w:eastAsia="ru-RU"/>
              </w:rPr>
              <w:t>Подострый</w:t>
            </w:r>
            <w:proofErr w:type="spellEnd"/>
            <w:r w:rsidRPr="005932A9">
              <w:rPr>
                <w:rFonts w:ascii="Arial Narrow" w:hAnsi="Arial Narrow"/>
                <w:b/>
                <w:bCs/>
                <w:color w:val="000000"/>
                <w:lang w:eastAsia="ru-RU"/>
              </w:rPr>
              <w:t xml:space="preserve"> вариант ЭАА,</w:t>
            </w:r>
          </w:p>
          <w:p w:rsidR="00C703FE" w:rsidRPr="005932A9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5932A9">
              <w:rPr>
                <w:rFonts w:ascii="Arial Narrow" w:hAnsi="Arial Narrow"/>
                <w:b/>
                <w:bCs/>
                <w:color w:val="000000"/>
                <w:lang w:eastAsia="ru-RU"/>
              </w:rPr>
              <w:t xml:space="preserve"> 4-я группа (n=19)</w:t>
            </w:r>
          </w:p>
        </w:tc>
      </w:tr>
      <w:tr w:rsidR="00C703FE" w:rsidRPr="00DB7FBE" w:rsidTr="00A569CA">
        <w:trPr>
          <w:trHeight w:val="842"/>
        </w:trPr>
        <w:tc>
          <w:tcPr>
            <w:tcW w:w="34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703FE" w:rsidRPr="005932A9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5932A9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5932A9">
              <w:rPr>
                <w:rFonts w:ascii="Arial Narrow" w:hAnsi="Arial Narrow"/>
                <w:color w:val="000000"/>
                <w:lang w:eastAsia="ru-RU"/>
              </w:rPr>
              <w:t>до лечения (</w:t>
            </w:r>
            <w:proofErr w:type="spellStart"/>
            <w:r w:rsidRPr="005932A9">
              <w:rPr>
                <w:rFonts w:ascii="Arial Narrow" w:hAnsi="Arial Narrow"/>
                <w:color w:val="000000"/>
                <w:lang w:eastAsia="ru-RU"/>
              </w:rPr>
              <w:t>М±σ</w:t>
            </w:r>
            <w:proofErr w:type="spellEnd"/>
            <w:r w:rsidRPr="005932A9">
              <w:rPr>
                <w:rFonts w:ascii="Arial Narrow" w:hAnsi="Arial Narrow"/>
                <w:color w:val="000000"/>
                <w:lang w:eastAsia="ru-RU"/>
              </w:rPr>
              <w:t>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5932A9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5932A9">
              <w:rPr>
                <w:rFonts w:ascii="Arial Narrow" w:hAnsi="Arial Narrow"/>
                <w:color w:val="000000"/>
                <w:lang w:eastAsia="ru-RU"/>
              </w:rPr>
              <w:t>после лечения (</w:t>
            </w:r>
            <w:proofErr w:type="spellStart"/>
            <w:r w:rsidRPr="005932A9">
              <w:rPr>
                <w:rFonts w:ascii="Arial Narrow" w:hAnsi="Arial Narrow"/>
                <w:color w:val="000000"/>
                <w:lang w:eastAsia="ru-RU"/>
              </w:rPr>
              <w:t>М±σ</w:t>
            </w:r>
            <w:proofErr w:type="spellEnd"/>
            <w:r w:rsidRPr="005932A9">
              <w:rPr>
                <w:rFonts w:ascii="Arial Narrow" w:hAnsi="Arial Narrow"/>
                <w:color w:val="000000"/>
                <w:lang w:eastAsia="ru-RU"/>
              </w:rPr>
              <w:t>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5932A9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5932A9">
              <w:rPr>
                <w:rFonts w:ascii="Arial Narrow" w:hAnsi="Arial Narrow"/>
                <w:color w:val="000000"/>
                <w:lang w:eastAsia="ru-RU"/>
              </w:rPr>
              <w:t>до лечения (</w:t>
            </w:r>
            <w:proofErr w:type="spellStart"/>
            <w:r w:rsidRPr="005932A9">
              <w:rPr>
                <w:rFonts w:ascii="Arial Narrow" w:hAnsi="Arial Narrow"/>
                <w:color w:val="000000"/>
                <w:lang w:eastAsia="ru-RU"/>
              </w:rPr>
              <w:t>М±σ</w:t>
            </w:r>
            <w:proofErr w:type="spellEnd"/>
            <w:r w:rsidRPr="005932A9">
              <w:rPr>
                <w:rFonts w:ascii="Arial Narrow" w:hAnsi="Arial Narrow"/>
                <w:color w:val="000000"/>
                <w:lang w:eastAsia="ru-RU"/>
              </w:rPr>
              <w:t>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3FE" w:rsidRPr="005932A9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5932A9">
              <w:rPr>
                <w:rFonts w:ascii="Arial Narrow" w:hAnsi="Arial Narrow"/>
                <w:color w:val="000000"/>
                <w:lang w:eastAsia="ru-RU"/>
              </w:rPr>
              <w:t>после лечения (</w:t>
            </w:r>
            <w:proofErr w:type="spellStart"/>
            <w:r w:rsidRPr="005932A9">
              <w:rPr>
                <w:rFonts w:ascii="Arial Narrow" w:hAnsi="Arial Narrow"/>
                <w:color w:val="000000"/>
                <w:lang w:eastAsia="ru-RU"/>
              </w:rPr>
              <w:t>М±σ</w:t>
            </w:r>
            <w:proofErr w:type="spellEnd"/>
            <w:r w:rsidRPr="005932A9">
              <w:rPr>
                <w:rFonts w:ascii="Arial Narrow" w:hAnsi="Arial Narrow"/>
                <w:color w:val="000000"/>
                <w:lang w:eastAsia="ru-RU"/>
              </w:rPr>
              <w:t>)</w:t>
            </w:r>
          </w:p>
        </w:tc>
      </w:tr>
      <w:tr w:rsidR="00C703FE" w:rsidRPr="00DB7FBE" w:rsidTr="00A569CA">
        <w:trPr>
          <w:trHeight w:val="293"/>
        </w:trPr>
        <w:tc>
          <w:tcPr>
            <w:tcW w:w="3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sz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кум</w:t>
            </w:r>
            <w:proofErr w:type="gramStart"/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.</w:t>
            </w:r>
            <w:proofErr w:type="gramEnd"/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и</w:t>
            </w:r>
            <w:proofErr w:type="gramEnd"/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ндекс (баллы)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2.8±0.2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1.3±0.2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2.5±0.2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1.3±0.1</w:t>
            </w:r>
          </w:p>
        </w:tc>
      </w:tr>
      <w:tr w:rsidR="00C703FE" w:rsidRPr="00DB7FBE" w:rsidTr="00A569CA">
        <w:trPr>
          <w:trHeight w:val="305"/>
        </w:trPr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sz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диссеминация КТВР  (баллы)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3.1±0.2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1.7±0.2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3.1±0.2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1.7±0.2</w:t>
            </w:r>
          </w:p>
        </w:tc>
      </w:tr>
    </w:tbl>
    <w:p w:rsidR="00C703FE" w:rsidRDefault="00C703FE" w:rsidP="00060BF0">
      <w:pPr>
        <w:ind w:left="0" w:right="-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3A8F">
        <w:rPr>
          <w:rFonts w:ascii="Times New Roman" w:hAnsi="Times New Roman"/>
          <w:sz w:val="28"/>
          <w:szCs w:val="28"/>
          <w:lang w:eastAsia="ru-RU"/>
        </w:rPr>
        <w:lastRenderedPageBreak/>
        <w:t>Кроме того, в группе контроля (4)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 использовании более высокой дозы системных ГКС, у 42% больных зарегистрировано развитие декомпенсации сахарного диабета, артериальной гипертензии, язвенного поражения ЖКТ. </w:t>
      </w:r>
    </w:p>
    <w:p w:rsidR="00C703FE" w:rsidRPr="00A569CA" w:rsidRDefault="00C703FE" w:rsidP="00A569CA">
      <w:pPr>
        <w:ind w:left="0" w:right="-1" w:firstLine="0"/>
        <w:jc w:val="both"/>
        <w:rPr>
          <w:rFonts w:ascii="Arial Narrow" w:hAnsi="Arial Narrow"/>
          <w:sz w:val="24"/>
          <w:szCs w:val="28"/>
          <w:lang w:eastAsia="ru-RU"/>
        </w:rPr>
      </w:pPr>
      <w:r w:rsidRPr="00A569CA">
        <w:rPr>
          <w:rFonts w:ascii="Arial Narrow" w:hAnsi="Arial Narrow"/>
          <w:b/>
          <w:sz w:val="24"/>
          <w:szCs w:val="28"/>
          <w:lang w:eastAsia="ru-RU"/>
        </w:rPr>
        <w:t xml:space="preserve">Таблица 7. </w:t>
      </w:r>
      <w:r w:rsidRPr="00A569CA">
        <w:rPr>
          <w:rFonts w:ascii="Arial Narrow" w:hAnsi="Arial Narrow"/>
          <w:sz w:val="24"/>
          <w:szCs w:val="28"/>
          <w:lang w:eastAsia="ru-RU"/>
        </w:rPr>
        <w:t xml:space="preserve">Изменение функциональных показателей у больных </w:t>
      </w:r>
      <w:proofErr w:type="spellStart"/>
      <w:r w:rsidRPr="00A569CA">
        <w:rPr>
          <w:rFonts w:ascii="Arial Narrow" w:hAnsi="Arial Narrow"/>
          <w:sz w:val="24"/>
          <w:szCs w:val="28"/>
          <w:lang w:eastAsia="ru-RU"/>
        </w:rPr>
        <w:t>подострым</w:t>
      </w:r>
      <w:proofErr w:type="spellEnd"/>
      <w:r w:rsidRPr="00A569CA">
        <w:rPr>
          <w:rFonts w:ascii="Arial Narrow" w:hAnsi="Arial Narrow"/>
          <w:sz w:val="24"/>
          <w:szCs w:val="28"/>
          <w:lang w:eastAsia="ru-RU"/>
        </w:rPr>
        <w:t xml:space="preserve"> ЭАА до и после лечения.</w:t>
      </w:r>
    </w:p>
    <w:tbl>
      <w:tblPr>
        <w:tblW w:w="9652" w:type="dxa"/>
        <w:tblInd w:w="95" w:type="dxa"/>
        <w:tblLook w:val="00A0"/>
      </w:tblPr>
      <w:tblGrid>
        <w:gridCol w:w="2298"/>
        <w:gridCol w:w="1117"/>
        <w:gridCol w:w="1276"/>
        <w:gridCol w:w="934"/>
        <w:gridCol w:w="1443"/>
        <w:gridCol w:w="1450"/>
        <w:gridCol w:w="1134"/>
      </w:tblGrid>
      <w:tr w:rsidR="00C703FE" w:rsidRPr="00DB7FBE" w:rsidTr="00F54852">
        <w:trPr>
          <w:trHeight w:val="296"/>
        </w:trPr>
        <w:tc>
          <w:tcPr>
            <w:tcW w:w="2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703FE" w:rsidRPr="00DE53D8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функциональные показатели</w:t>
            </w:r>
          </w:p>
        </w:tc>
        <w:tc>
          <w:tcPr>
            <w:tcW w:w="33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703FE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spellStart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Подострый</w:t>
            </w:r>
            <w:proofErr w:type="spellEnd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 xml:space="preserve"> вариант ЭАА, </w:t>
            </w:r>
          </w:p>
          <w:p w:rsidR="00C703FE" w:rsidRPr="00DE53D8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3-я группа (n=24)</w:t>
            </w:r>
          </w:p>
        </w:tc>
        <w:tc>
          <w:tcPr>
            <w:tcW w:w="40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703FE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spellStart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Подострый</w:t>
            </w:r>
            <w:proofErr w:type="spellEnd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 xml:space="preserve"> вариант ЭАА, </w:t>
            </w:r>
          </w:p>
          <w:p w:rsidR="00C703FE" w:rsidRPr="00DE53D8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4-я группа (n=19)</w:t>
            </w:r>
          </w:p>
        </w:tc>
      </w:tr>
      <w:tr w:rsidR="00C703FE" w:rsidRPr="00DB7FBE" w:rsidTr="00F54852">
        <w:trPr>
          <w:trHeight w:val="580"/>
        </w:trPr>
        <w:tc>
          <w:tcPr>
            <w:tcW w:w="22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703FE" w:rsidRPr="00DE53D8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до лечения (</w:t>
            </w:r>
            <w:proofErr w:type="spellStart"/>
            <w:r w:rsidRPr="00DE53D8">
              <w:rPr>
                <w:rFonts w:ascii="Arial Narrow" w:hAnsi="Arial Narrow"/>
                <w:color w:val="000000"/>
                <w:lang w:eastAsia="ru-RU"/>
              </w:rPr>
              <w:t>М±σ</w:t>
            </w:r>
            <w:proofErr w:type="spellEnd"/>
            <w:r w:rsidRPr="00DE53D8">
              <w:rPr>
                <w:rFonts w:ascii="Arial Narrow" w:hAnsi="Arial Narrow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после лечения (</w:t>
            </w:r>
            <w:proofErr w:type="spellStart"/>
            <w:r w:rsidRPr="00DE53D8">
              <w:rPr>
                <w:rFonts w:ascii="Arial Narrow" w:hAnsi="Arial Narrow"/>
                <w:color w:val="000000"/>
                <w:lang w:eastAsia="ru-RU"/>
              </w:rPr>
              <w:t>М±σ</w:t>
            </w:r>
            <w:proofErr w:type="spellEnd"/>
            <w:r w:rsidRPr="00DE53D8">
              <w:rPr>
                <w:rFonts w:ascii="Arial Narrow" w:hAnsi="Arial Narrow"/>
                <w:color w:val="000000"/>
                <w:lang w:eastAsia="ru-RU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proofErr w:type="gramStart"/>
            <w:r w:rsidRPr="00DE53D8">
              <w:rPr>
                <w:rFonts w:ascii="Arial Narrow" w:hAnsi="Arial Narrow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до лечения (</w:t>
            </w:r>
            <w:proofErr w:type="spellStart"/>
            <w:r w:rsidRPr="00DE53D8">
              <w:rPr>
                <w:rFonts w:ascii="Arial Narrow" w:hAnsi="Arial Narrow"/>
                <w:color w:val="000000"/>
                <w:lang w:eastAsia="ru-RU"/>
              </w:rPr>
              <w:t>М±σ</w:t>
            </w:r>
            <w:proofErr w:type="spellEnd"/>
            <w:r w:rsidRPr="00DE53D8">
              <w:rPr>
                <w:rFonts w:ascii="Arial Narrow" w:hAnsi="Arial Narrow"/>
                <w:color w:val="000000"/>
                <w:lang w:eastAsia="ru-RU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после лечения (</w:t>
            </w:r>
            <w:proofErr w:type="spellStart"/>
            <w:r w:rsidRPr="00DE53D8">
              <w:rPr>
                <w:rFonts w:ascii="Arial Narrow" w:hAnsi="Arial Narrow"/>
                <w:color w:val="000000"/>
                <w:lang w:eastAsia="ru-RU"/>
              </w:rPr>
              <w:t>М±σ</w:t>
            </w:r>
            <w:proofErr w:type="spellEnd"/>
            <w:r w:rsidRPr="00DE53D8">
              <w:rPr>
                <w:rFonts w:ascii="Arial Narrow" w:hAnsi="Arial Narrow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proofErr w:type="gramStart"/>
            <w:r w:rsidRPr="00DE53D8">
              <w:rPr>
                <w:rFonts w:ascii="Arial Narrow" w:hAnsi="Arial Narrow"/>
                <w:color w:val="000000"/>
                <w:lang w:eastAsia="ru-RU"/>
              </w:rPr>
              <w:t>Р</w:t>
            </w:r>
            <w:proofErr w:type="gramEnd"/>
          </w:p>
        </w:tc>
      </w:tr>
      <w:tr w:rsidR="00C703FE" w:rsidRPr="00DB7FBE" w:rsidTr="00F54852">
        <w:trPr>
          <w:trHeight w:val="29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3FE" w:rsidRPr="00DE53D8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ЖЕЛ % д.в.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71.8±5.2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100.1±3.4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&lt;0.01**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67.9±6.9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93.7±8.8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&lt;0.01**</w:t>
            </w:r>
          </w:p>
        </w:tc>
      </w:tr>
      <w:tr w:rsidR="00C703FE" w:rsidRPr="00DB7FBE" w:rsidTr="00F54852">
        <w:trPr>
          <w:trHeight w:val="29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3FE" w:rsidRPr="00DE53D8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ОФВ</w:t>
            </w:r>
            <w:proofErr w:type="gramStart"/>
            <w:r w:rsidRPr="00DE53D8">
              <w:rPr>
                <w:rFonts w:ascii="Arial Narrow" w:hAnsi="Arial Narrow"/>
                <w:color w:val="000000"/>
                <w:lang w:eastAsia="ru-RU"/>
              </w:rPr>
              <w:t>1</w:t>
            </w:r>
            <w:proofErr w:type="gramEnd"/>
            <w:r w:rsidRPr="00DE53D8">
              <w:rPr>
                <w:rFonts w:ascii="Arial Narrow" w:hAnsi="Arial Narrow"/>
                <w:color w:val="000000"/>
                <w:lang w:eastAsia="ru-RU"/>
              </w:rPr>
              <w:t xml:space="preserve"> % д.в.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65.0±4.1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91.9±3.8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&lt;0.01**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68.3±4.0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83.5±4.9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&lt;0.01**</w:t>
            </w:r>
          </w:p>
        </w:tc>
      </w:tr>
      <w:tr w:rsidR="00C703FE" w:rsidRPr="00DB7FBE" w:rsidTr="00F54852">
        <w:trPr>
          <w:trHeight w:val="29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3FE" w:rsidRPr="00DE53D8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МСВ50 % д</w:t>
            </w:r>
            <w:proofErr w:type="gramStart"/>
            <w:r w:rsidRPr="00DE53D8">
              <w:rPr>
                <w:rFonts w:ascii="Arial Narrow" w:hAnsi="Arial Narrow"/>
                <w:color w:val="000000"/>
                <w:lang w:eastAsia="ru-RU"/>
              </w:rPr>
              <w:t>.в</w:t>
            </w:r>
            <w:proofErr w:type="gramEnd"/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52.3±5.1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68.2±6.0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&lt;0.05*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50.2±3.3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66.3±6.3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&lt;0.05*</w:t>
            </w:r>
          </w:p>
        </w:tc>
      </w:tr>
      <w:tr w:rsidR="00C703FE" w:rsidRPr="00DB7FBE" w:rsidTr="00F54852">
        <w:trPr>
          <w:trHeight w:val="29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3FE" w:rsidRPr="00DE53D8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МСВ25 % д</w:t>
            </w:r>
            <w:proofErr w:type="gramStart"/>
            <w:r w:rsidRPr="00DE53D8">
              <w:rPr>
                <w:rFonts w:ascii="Arial Narrow" w:hAnsi="Arial Narrow"/>
                <w:color w:val="000000"/>
                <w:lang w:eastAsia="ru-RU"/>
              </w:rPr>
              <w:t>.в</w:t>
            </w:r>
            <w:proofErr w:type="gramEnd"/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48.5±6.3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88.0±7.4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&lt;0.05*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47.2±3.6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65.2±6.0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&lt;0.05*</w:t>
            </w:r>
          </w:p>
        </w:tc>
      </w:tr>
      <w:tr w:rsidR="00C703FE" w:rsidRPr="00DB7FBE" w:rsidTr="00F54852">
        <w:trPr>
          <w:trHeight w:val="29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3FE" w:rsidRPr="00DE53D8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DLCO % д.в.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61.4±3.1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68.9±3.4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&lt;0.05*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63.1±3.8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63.2±4.0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proofErr w:type="gramStart"/>
            <w:r w:rsidRPr="00DE53D8">
              <w:rPr>
                <w:rFonts w:ascii="Arial Narrow" w:hAnsi="Arial Narrow"/>
                <w:color w:val="000000"/>
                <w:lang w:eastAsia="ru-RU"/>
              </w:rPr>
              <w:t>Р</w:t>
            </w:r>
            <w:proofErr w:type="gramEnd"/>
            <w:r w:rsidRPr="00DE53D8">
              <w:rPr>
                <w:rFonts w:ascii="Arial Narrow" w:hAnsi="Arial Narrow"/>
                <w:color w:val="000000"/>
                <w:lang w:eastAsia="ru-RU"/>
              </w:rPr>
              <w:t>&gt;0.05</w:t>
            </w:r>
          </w:p>
        </w:tc>
      </w:tr>
      <w:tr w:rsidR="00C703FE" w:rsidRPr="00DB7FBE" w:rsidTr="00F54852">
        <w:trPr>
          <w:trHeight w:val="29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3FE" w:rsidRPr="00DE53D8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DLCO/VA % д.в.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71.2±3.4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82.1±2.4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proofErr w:type="gramStart"/>
            <w:r w:rsidRPr="00DE53D8">
              <w:rPr>
                <w:rFonts w:ascii="Arial Narrow" w:hAnsi="Arial Narrow"/>
                <w:color w:val="000000"/>
                <w:lang w:eastAsia="ru-RU"/>
              </w:rPr>
              <w:t>Р</w:t>
            </w:r>
            <w:proofErr w:type="gramEnd"/>
            <w:r w:rsidRPr="00DE53D8">
              <w:rPr>
                <w:rFonts w:ascii="Arial Narrow" w:hAnsi="Arial Narrow"/>
                <w:color w:val="000000"/>
                <w:lang w:eastAsia="ru-RU"/>
              </w:rPr>
              <w:t>&gt;0.05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72.0±3.9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73.0±4.0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proofErr w:type="gramStart"/>
            <w:r w:rsidRPr="00DE53D8">
              <w:rPr>
                <w:rFonts w:ascii="Arial Narrow" w:hAnsi="Arial Narrow"/>
                <w:color w:val="000000"/>
                <w:lang w:eastAsia="ru-RU"/>
              </w:rPr>
              <w:t>Р</w:t>
            </w:r>
            <w:proofErr w:type="gramEnd"/>
            <w:r w:rsidRPr="00DE53D8">
              <w:rPr>
                <w:rFonts w:ascii="Arial Narrow" w:hAnsi="Arial Narrow"/>
                <w:color w:val="000000"/>
                <w:lang w:eastAsia="ru-RU"/>
              </w:rPr>
              <w:t>&gt;0.05</w:t>
            </w:r>
          </w:p>
        </w:tc>
      </w:tr>
      <w:tr w:rsidR="00C703FE" w:rsidRPr="00DB7FBE" w:rsidTr="00F54852">
        <w:trPr>
          <w:trHeight w:val="309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703FE" w:rsidRPr="00DE53D8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 xml:space="preserve">PO2 </w:t>
            </w:r>
            <w:proofErr w:type="spellStart"/>
            <w:r w:rsidRPr="00DE53D8">
              <w:rPr>
                <w:rFonts w:ascii="Arial Narrow" w:hAnsi="Arial Narrow"/>
                <w:color w:val="000000"/>
                <w:lang w:eastAsia="ru-RU"/>
              </w:rPr>
              <w:t>мм</w:t>
            </w:r>
            <w:proofErr w:type="gramStart"/>
            <w:r w:rsidRPr="00DE53D8">
              <w:rPr>
                <w:rFonts w:ascii="Arial Narrow" w:hAnsi="Arial Narrow"/>
                <w:color w:val="000000"/>
                <w:lang w:eastAsia="ru-RU"/>
              </w:rPr>
              <w:t>.р</w:t>
            </w:r>
            <w:proofErr w:type="gramEnd"/>
            <w:r w:rsidRPr="00DE53D8">
              <w:rPr>
                <w:rFonts w:ascii="Arial Narrow" w:hAnsi="Arial Narrow"/>
                <w:color w:val="000000"/>
                <w:lang w:eastAsia="ru-RU"/>
              </w:rPr>
              <w:t>т.ст</w:t>
            </w:r>
            <w:proofErr w:type="spellEnd"/>
            <w:r w:rsidRPr="00DE53D8">
              <w:rPr>
                <w:rFonts w:ascii="Arial Narrow" w:hAnsi="Arial Narrow"/>
                <w:color w:val="000000"/>
                <w:lang w:eastAsia="ru-RU"/>
              </w:rPr>
              <w:t>.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68.6±1.7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73.5±1.9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proofErr w:type="gramStart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DE53D8">
              <w:rPr>
                <w:rFonts w:ascii="Arial Narrow" w:hAnsi="Arial Narrow"/>
                <w:b/>
                <w:bCs/>
                <w:color w:val="000000"/>
                <w:lang w:eastAsia="ru-RU"/>
              </w:rPr>
              <w:t>&lt;0.01**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71.3±1.9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DE53D8">
              <w:rPr>
                <w:rFonts w:ascii="Arial Narrow" w:hAnsi="Arial Narrow"/>
                <w:color w:val="000000"/>
                <w:lang w:eastAsia="ru-RU"/>
              </w:rPr>
              <w:t>72.7±1.6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03FE" w:rsidRPr="00DE53D8" w:rsidRDefault="00C703FE" w:rsidP="00F5485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proofErr w:type="gramStart"/>
            <w:r w:rsidRPr="00DE53D8">
              <w:rPr>
                <w:rFonts w:ascii="Arial Narrow" w:hAnsi="Arial Narrow"/>
                <w:color w:val="000000"/>
                <w:lang w:eastAsia="ru-RU"/>
              </w:rPr>
              <w:t>Р</w:t>
            </w:r>
            <w:proofErr w:type="gramEnd"/>
            <w:r w:rsidRPr="00DE53D8">
              <w:rPr>
                <w:rFonts w:ascii="Arial Narrow" w:hAnsi="Arial Narrow"/>
                <w:color w:val="000000"/>
                <w:lang w:eastAsia="ru-RU"/>
              </w:rPr>
              <w:t>&gt;0.05</w:t>
            </w:r>
          </w:p>
        </w:tc>
      </w:tr>
    </w:tbl>
    <w:p w:rsidR="00C703FE" w:rsidRDefault="00C703FE" w:rsidP="00CE5DDA">
      <w:pPr>
        <w:ind w:left="0" w:right="-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Полученные данные свидетельствуют о целесообразности включения в схему терапии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подострого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варианта ЭАА такого патогенетического средства как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амброксол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213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данном случае имеет значение не только длительность назначения, но и способ доставки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аброксола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небулайзерные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ингаляции.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Это позволяет не только использовать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мукорегуляторные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свойства лекарственного препарата, но применять его в качестве стимулятора выработки легочного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сурфактанта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природного активатора АМ, играющих ключевую роль в разрешении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иммуннокомплексного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воспаления.</w:t>
      </w:r>
      <w:proofErr w:type="gramEnd"/>
    </w:p>
    <w:p w:rsidR="00C703FE" w:rsidRDefault="00C703FE" w:rsidP="003E730F">
      <w:pPr>
        <w:ind w:left="0" w:right="-1"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Хронический вариант ЭАА.</w:t>
      </w:r>
    </w:p>
    <w:p w:rsidR="00C703FE" w:rsidRDefault="00C703FE" w:rsidP="008A45EB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Больные  (24 человека) с хроническим вариантом ЭАА методом рандомизации разделены на 2 группы. Основную группу (5) составили 14 человек, в лечении которых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системные ГКС 15 мг/сутки сочетались с приемом высоких доз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N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АС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флуимуцил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1800 мг/сутки. В группе (6) контроля (10 человек) аналогичная доза системных ГКС сочеталась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в\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инфузиями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циклофосфамида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циклофосфан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0,2 гр. 2 раза в неделю. Лечение в обеих группах продолжалось 2 месяца.</w:t>
      </w:r>
    </w:p>
    <w:p w:rsidR="00C703FE" w:rsidRDefault="00C703FE" w:rsidP="008A45EB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сравнении результатов наблюдения установлено преимущество комбинации системных ГКС с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циклофосфамидом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над комбинацией ГКС с </w:t>
      </w:r>
      <w:r>
        <w:rPr>
          <w:rFonts w:ascii="Times New Roman" w:hAnsi="Times New Roman"/>
          <w:sz w:val="28"/>
          <w:szCs w:val="28"/>
          <w:lang w:val="en-US" w:eastAsia="ru-RU"/>
        </w:rPr>
        <w:t>NAC</w:t>
      </w:r>
      <w:r>
        <w:rPr>
          <w:rFonts w:ascii="Times New Roman" w:hAnsi="Times New Roman"/>
          <w:sz w:val="28"/>
          <w:szCs w:val="28"/>
          <w:lang w:eastAsia="ru-RU"/>
        </w:rPr>
        <w:t xml:space="preserve">. Не смотря на то, что положительная динамика со стороны клинической и КТ картины получена в обеих группах </w:t>
      </w:r>
      <w:r w:rsidRPr="002058C4">
        <w:rPr>
          <w:rFonts w:ascii="Times New Roman" w:hAnsi="Times New Roman"/>
          <w:sz w:val="28"/>
          <w:szCs w:val="28"/>
          <w:lang w:eastAsia="ru-RU"/>
        </w:rPr>
        <w:t>(</w:t>
      </w:r>
      <w:r w:rsidRPr="004444AD">
        <w:rPr>
          <w:rFonts w:ascii="Times New Roman" w:hAnsi="Times New Roman"/>
          <w:sz w:val="28"/>
          <w:szCs w:val="28"/>
          <w:lang w:eastAsia="ru-RU"/>
        </w:rPr>
        <w:t>табл. 8),</w:t>
      </w:r>
      <w:r>
        <w:rPr>
          <w:rFonts w:ascii="Times New Roman" w:hAnsi="Times New Roman"/>
          <w:sz w:val="28"/>
          <w:szCs w:val="28"/>
          <w:lang w:eastAsia="ru-RU"/>
        </w:rPr>
        <w:t xml:space="preserve"> значимое улучшение со стороны функциональных параметров отмечено только в группе больных, получающих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циклофосфамид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703FE" w:rsidRPr="00A569CA" w:rsidRDefault="00C703FE" w:rsidP="00A569CA">
      <w:pPr>
        <w:ind w:left="0" w:right="-1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A569CA">
        <w:rPr>
          <w:rFonts w:ascii="Times New Roman" w:hAnsi="Times New Roman"/>
          <w:b/>
          <w:sz w:val="24"/>
          <w:szCs w:val="28"/>
          <w:lang w:eastAsia="ru-RU"/>
        </w:rPr>
        <w:t>Таблица 8.</w:t>
      </w:r>
      <w:r w:rsidRPr="00A569CA">
        <w:rPr>
          <w:rFonts w:ascii="Times New Roman" w:hAnsi="Times New Roman"/>
          <w:sz w:val="24"/>
          <w:szCs w:val="28"/>
          <w:lang w:eastAsia="ru-RU"/>
        </w:rPr>
        <w:t xml:space="preserve"> Динамика КИ и данных КТВР у больных хроническим ЭАА до и после лечения.</w:t>
      </w:r>
    </w:p>
    <w:tbl>
      <w:tblPr>
        <w:tblW w:w="9515" w:type="dxa"/>
        <w:tblInd w:w="91" w:type="dxa"/>
        <w:tblLayout w:type="fixed"/>
        <w:tblLook w:val="00A0"/>
      </w:tblPr>
      <w:tblGrid>
        <w:gridCol w:w="3278"/>
        <w:gridCol w:w="1417"/>
        <w:gridCol w:w="1559"/>
        <w:gridCol w:w="1560"/>
        <w:gridCol w:w="1701"/>
      </w:tblGrid>
      <w:tr w:rsidR="00C703FE" w:rsidRPr="00DB7FBE" w:rsidTr="00A569CA">
        <w:trPr>
          <w:trHeight w:val="624"/>
        </w:trPr>
        <w:tc>
          <w:tcPr>
            <w:tcW w:w="3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color w:val="000000"/>
                <w:lang w:eastAsia="ru-RU"/>
              </w:rPr>
              <w:t>показатели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3FE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b/>
                <w:bCs/>
                <w:color w:val="000000"/>
                <w:lang w:eastAsia="ru-RU"/>
              </w:rPr>
              <w:t>Хронический вариант ЭАА,</w:t>
            </w:r>
          </w:p>
          <w:p w:rsidR="00C703FE" w:rsidRPr="002058C4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b/>
                <w:bCs/>
                <w:color w:val="000000"/>
                <w:lang w:eastAsia="ru-RU"/>
              </w:rPr>
              <w:t xml:space="preserve"> 5-я группа (n=14)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703FE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b/>
                <w:bCs/>
                <w:color w:val="000000"/>
                <w:lang w:eastAsia="ru-RU"/>
              </w:rPr>
              <w:t xml:space="preserve">Хронический вариант ЭАА, </w:t>
            </w:r>
          </w:p>
          <w:p w:rsidR="00C703FE" w:rsidRPr="002058C4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b/>
                <w:bCs/>
                <w:color w:val="000000"/>
                <w:lang w:eastAsia="ru-RU"/>
              </w:rPr>
              <w:t>6-я группа (n=10)</w:t>
            </w:r>
          </w:p>
        </w:tc>
      </w:tr>
      <w:tr w:rsidR="00C703FE" w:rsidRPr="00DB7FBE" w:rsidTr="00A569CA">
        <w:trPr>
          <w:trHeight w:val="635"/>
        </w:trPr>
        <w:tc>
          <w:tcPr>
            <w:tcW w:w="3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color w:val="000000"/>
                <w:lang w:eastAsia="ru-RU"/>
              </w:rPr>
              <w:t>до лечения (</w:t>
            </w:r>
            <w:proofErr w:type="spellStart"/>
            <w:r w:rsidRPr="002058C4">
              <w:rPr>
                <w:rFonts w:ascii="Arial Narrow" w:hAnsi="Arial Narrow"/>
                <w:color w:val="000000"/>
                <w:lang w:eastAsia="ru-RU"/>
              </w:rPr>
              <w:t>М±σ</w:t>
            </w:r>
            <w:proofErr w:type="spellEnd"/>
            <w:r w:rsidRPr="002058C4">
              <w:rPr>
                <w:rFonts w:ascii="Arial Narrow" w:hAnsi="Arial Narrow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color w:val="000000"/>
                <w:lang w:eastAsia="ru-RU"/>
              </w:rPr>
              <w:t>после лечения (</w:t>
            </w:r>
            <w:proofErr w:type="spellStart"/>
            <w:r w:rsidRPr="002058C4">
              <w:rPr>
                <w:rFonts w:ascii="Arial Narrow" w:hAnsi="Arial Narrow"/>
                <w:color w:val="000000"/>
                <w:lang w:eastAsia="ru-RU"/>
              </w:rPr>
              <w:t>М±σ</w:t>
            </w:r>
            <w:proofErr w:type="spellEnd"/>
            <w:r w:rsidRPr="002058C4">
              <w:rPr>
                <w:rFonts w:ascii="Arial Narrow" w:hAnsi="Arial Narrow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color w:val="000000"/>
                <w:lang w:eastAsia="ru-RU"/>
              </w:rPr>
              <w:t>до лечения (</w:t>
            </w:r>
            <w:proofErr w:type="spellStart"/>
            <w:r w:rsidRPr="002058C4">
              <w:rPr>
                <w:rFonts w:ascii="Arial Narrow" w:hAnsi="Arial Narrow"/>
                <w:color w:val="000000"/>
                <w:lang w:eastAsia="ru-RU"/>
              </w:rPr>
              <w:t>М±σ</w:t>
            </w:r>
            <w:proofErr w:type="spellEnd"/>
            <w:r w:rsidRPr="002058C4">
              <w:rPr>
                <w:rFonts w:ascii="Arial Narrow" w:hAnsi="Arial Narrow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color w:val="000000"/>
                <w:lang w:eastAsia="ru-RU"/>
              </w:rPr>
              <w:t>после лечения (</w:t>
            </w:r>
            <w:proofErr w:type="spellStart"/>
            <w:r w:rsidRPr="002058C4">
              <w:rPr>
                <w:rFonts w:ascii="Arial Narrow" w:hAnsi="Arial Narrow"/>
                <w:color w:val="000000"/>
                <w:lang w:eastAsia="ru-RU"/>
              </w:rPr>
              <w:t>М±σ</w:t>
            </w:r>
            <w:proofErr w:type="spellEnd"/>
            <w:r w:rsidRPr="002058C4">
              <w:rPr>
                <w:rFonts w:ascii="Arial Narrow" w:hAnsi="Arial Narrow"/>
                <w:color w:val="000000"/>
                <w:lang w:eastAsia="ru-RU"/>
              </w:rPr>
              <w:t>)</w:t>
            </w:r>
          </w:p>
        </w:tc>
      </w:tr>
      <w:tr w:rsidR="00C703FE" w:rsidRPr="00DB7FBE" w:rsidTr="00A569CA">
        <w:trPr>
          <w:trHeight w:val="288"/>
        </w:trPr>
        <w:tc>
          <w:tcPr>
            <w:tcW w:w="3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sz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кум</w:t>
            </w:r>
            <w:proofErr w:type="gramStart"/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.</w:t>
            </w:r>
            <w:proofErr w:type="gramEnd"/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и</w:t>
            </w:r>
            <w:proofErr w:type="gramEnd"/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ндекс (баллы)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3.4±0.3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2.4±0.2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3.8±0.2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2.7±0.3</w:t>
            </w:r>
          </w:p>
        </w:tc>
      </w:tr>
      <w:tr w:rsidR="00C703FE" w:rsidRPr="00DB7FBE" w:rsidTr="00A569CA">
        <w:trPr>
          <w:trHeight w:val="3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sz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"Матовое стекло" КТВР  (баллы)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2.5±0.3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1.9±0.3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2.5±0.3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lang w:eastAsia="ru-RU"/>
              </w:rPr>
              <w:t>1.7±0.3</w:t>
            </w:r>
          </w:p>
        </w:tc>
      </w:tr>
    </w:tbl>
    <w:p w:rsidR="00C703FE" w:rsidRDefault="00C703FE" w:rsidP="008A45EB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 выражалось в увеличении показателей  ЖЕЛ, ОФВ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МСВ 75, МСВ 50 (</w:t>
      </w:r>
      <w:r w:rsidRPr="00C25AF1">
        <w:rPr>
          <w:rFonts w:ascii="Times New Roman" w:hAnsi="Times New Roman"/>
          <w:sz w:val="28"/>
          <w:szCs w:val="28"/>
          <w:lang w:eastAsia="ru-RU"/>
        </w:rPr>
        <w:t>табл.9)</w:t>
      </w:r>
      <w:r>
        <w:rPr>
          <w:rFonts w:ascii="Times New Roman" w:hAnsi="Times New Roman"/>
          <w:sz w:val="28"/>
          <w:szCs w:val="28"/>
          <w:lang w:eastAsia="ru-RU"/>
        </w:rPr>
        <w:t xml:space="preserve">.  В группе больных, получающих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N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АС, отмечено улучшение только одного показателя - МСВ 75.</w:t>
      </w:r>
      <w:r w:rsidRPr="000E2EF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03FE" w:rsidRPr="00A569CA" w:rsidRDefault="00C703FE" w:rsidP="00A569CA">
      <w:pPr>
        <w:ind w:left="0" w:right="-1" w:firstLine="0"/>
        <w:jc w:val="both"/>
        <w:rPr>
          <w:rFonts w:ascii="Arial Narrow" w:hAnsi="Arial Narrow"/>
          <w:sz w:val="24"/>
          <w:szCs w:val="28"/>
          <w:lang w:eastAsia="ru-RU"/>
        </w:rPr>
      </w:pPr>
      <w:r w:rsidRPr="00A569CA">
        <w:rPr>
          <w:rFonts w:ascii="Arial Narrow" w:hAnsi="Arial Narrow"/>
          <w:b/>
          <w:sz w:val="24"/>
          <w:szCs w:val="28"/>
          <w:lang w:eastAsia="ru-RU"/>
        </w:rPr>
        <w:t xml:space="preserve">Таблица 9. </w:t>
      </w:r>
      <w:r w:rsidRPr="00A569CA">
        <w:rPr>
          <w:rFonts w:ascii="Arial Narrow" w:hAnsi="Arial Narrow"/>
          <w:sz w:val="24"/>
          <w:szCs w:val="28"/>
          <w:lang w:eastAsia="ru-RU"/>
        </w:rPr>
        <w:t xml:space="preserve">Изменение функциональных показателей у больных </w:t>
      </w:r>
      <w:proofErr w:type="gramStart"/>
      <w:r w:rsidRPr="00A569CA">
        <w:rPr>
          <w:rFonts w:ascii="Arial Narrow" w:hAnsi="Arial Narrow"/>
          <w:sz w:val="24"/>
          <w:szCs w:val="28"/>
          <w:lang w:eastAsia="ru-RU"/>
        </w:rPr>
        <w:t>хроническим</w:t>
      </w:r>
      <w:proofErr w:type="gramEnd"/>
      <w:r w:rsidRPr="00A569CA">
        <w:rPr>
          <w:rFonts w:ascii="Arial Narrow" w:hAnsi="Arial Narrow"/>
          <w:sz w:val="24"/>
          <w:szCs w:val="28"/>
          <w:lang w:eastAsia="ru-RU"/>
        </w:rPr>
        <w:t xml:space="preserve"> ЭАА до и после лечения.</w:t>
      </w:r>
    </w:p>
    <w:tbl>
      <w:tblPr>
        <w:tblW w:w="9694" w:type="dxa"/>
        <w:tblInd w:w="91" w:type="dxa"/>
        <w:tblLook w:val="00A0"/>
      </w:tblPr>
      <w:tblGrid>
        <w:gridCol w:w="1716"/>
        <w:gridCol w:w="1418"/>
        <w:gridCol w:w="1561"/>
        <w:gridCol w:w="922"/>
        <w:gridCol w:w="1346"/>
        <w:gridCol w:w="1597"/>
        <w:gridCol w:w="1134"/>
      </w:tblGrid>
      <w:tr w:rsidR="00C703FE" w:rsidRPr="00DB7FBE" w:rsidTr="00A569CA">
        <w:trPr>
          <w:trHeight w:val="381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color w:val="000000"/>
                <w:lang w:eastAsia="ru-RU"/>
              </w:rPr>
              <w:t>функциональные показатели</w:t>
            </w:r>
          </w:p>
        </w:tc>
        <w:tc>
          <w:tcPr>
            <w:tcW w:w="39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  <w:t xml:space="preserve">Хронический вариант ЭАА, </w:t>
            </w:r>
          </w:p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  <w:t>5-я группа (n=14)</w:t>
            </w:r>
          </w:p>
        </w:tc>
        <w:tc>
          <w:tcPr>
            <w:tcW w:w="40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  <w:t xml:space="preserve">Хронический вариант ЭАА, </w:t>
            </w:r>
          </w:p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  <w:t>6-я группа (n=10)</w:t>
            </w:r>
          </w:p>
        </w:tc>
      </w:tr>
      <w:tr w:rsidR="00C703FE" w:rsidRPr="00DB7FBE" w:rsidTr="00A569CA">
        <w:trPr>
          <w:trHeight w:val="597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color w:val="000000"/>
                <w:lang w:eastAsia="ru-RU"/>
              </w:rPr>
              <w:t>до лечения (</w:t>
            </w:r>
            <w:proofErr w:type="spellStart"/>
            <w:r w:rsidRPr="002058C4">
              <w:rPr>
                <w:rFonts w:ascii="Arial Narrow" w:hAnsi="Arial Narrow"/>
                <w:color w:val="000000"/>
                <w:lang w:eastAsia="ru-RU"/>
              </w:rPr>
              <w:t>М±σ</w:t>
            </w:r>
            <w:proofErr w:type="spellEnd"/>
            <w:r w:rsidRPr="002058C4">
              <w:rPr>
                <w:rFonts w:ascii="Arial Narrow" w:hAnsi="Arial Narrow"/>
                <w:color w:val="000000"/>
                <w:lang w:eastAsia="ru-RU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color w:val="000000"/>
                <w:lang w:eastAsia="ru-RU"/>
              </w:rPr>
              <w:t>после лечения (</w:t>
            </w:r>
            <w:proofErr w:type="spellStart"/>
            <w:r w:rsidRPr="002058C4">
              <w:rPr>
                <w:rFonts w:ascii="Arial Narrow" w:hAnsi="Arial Narrow"/>
                <w:color w:val="000000"/>
                <w:lang w:eastAsia="ru-RU"/>
              </w:rPr>
              <w:t>М±σ</w:t>
            </w:r>
            <w:proofErr w:type="spellEnd"/>
            <w:r w:rsidRPr="002058C4">
              <w:rPr>
                <w:rFonts w:ascii="Arial Narrow" w:hAnsi="Arial Narrow"/>
                <w:color w:val="000000"/>
                <w:lang w:eastAsia="ru-RU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proofErr w:type="gramStart"/>
            <w:r w:rsidRPr="002058C4">
              <w:rPr>
                <w:rFonts w:ascii="Arial Narrow" w:hAnsi="Arial Narrow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color w:val="000000"/>
                <w:lang w:eastAsia="ru-RU"/>
              </w:rPr>
              <w:t>до лечения (</w:t>
            </w:r>
            <w:proofErr w:type="spellStart"/>
            <w:r w:rsidRPr="002058C4">
              <w:rPr>
                <w:rFonts w:ascii="Arial Narrow" w:hAnsi="Arial Narrow"/>
                <w:color w:val="000000"/>
                <w:lang w:eastAsia="ru-RU"/>
              </w:rPr>
              <w:t>М±σ</w:t>
            </w:r>
            <w:proofErr w:type="spellEnd"/>
            <w:r w:rsidRPr="002058C4">
              <w:rPr>
                <w:rFonts w:ascii="Arial Narrow" w:hAnsi="Arial Narrow"/>
                <w:color w:val="000000"/>
                <w:lang w:eastAsia="ru-RU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color w:val="000000"/>
                <w:lang w:eastAsia="ru-RU"/>
              </w:rPr>
              <w:t>после лечения (</w:t>
            </w:r>
            <w:proofErr w:type="spellStart"/>
            <w:r w:rsidRPr="002058C4">
              <w:rPr>
                <w:rFonts w:ascii="Arial Narrow" w:hAnsi="Arial Narrow"/>
                <w:color w:val="000000"/>
                <w:lang w:eastAsia="ru-RU"/>
              </w:rPr>
              <w:t>М±σ</w:t>
            </w:r>
            <w:proofErr w:type="spellEnd"/>
            <w:r w:rsidRPr="002058C4">
              <w:rPr>
                <w:rFonts w:ascii="Arial Narrow" w:hAnsi="Arial Narrow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lang w:eastAsia="ru-RU"/>
              </w:rPr>
            </w:pPr>
            <w:proofErr w:type="gramStart"/>
            <w:r w:rsidRPr="002058C4">
              <w:rPr>
                <w:rFonts w:ascii="Arial Narrow" w:hAnsi="Arial Narrow"/>
                <w:color w:val="000000"/>
                <w:lang w:eastAsia="ru-RU"/>
              </w:rPr>
              <w:t>Р</w:t>
            </w:r>
            <w:proofErr w:type="gramEnd"/>
          </w:p>
        </w:tc>
      </w:tr>
      <w:tr w:rsidR="00C703FE" w:rsidRPr="00DB7FBE" w:rsidTr="00A569CA">
        <w:trPr>
          <w:trHeight w:val="38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color w:val="000000"/>
                <w:lang w:eastAsia="ru-RU"/>
              </w:rPr>
              <w:t>ЖЕЛ % д.в.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72.5±3.2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75.7±2.5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&gt;0.05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54.7±5.0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64.0±5.5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A569CA"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 w:rsidRPr="00A569CA"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  <w:t>&lt;0.05*</w:t>
            </w:r>
          </w:p>
        </w:tc>
      </w:tr>
      <w:tr w:rsidR="00C703FE" w:rsidRPr="00DB7FBE" w:rsidTr="00A569CA">
        <w:trPr>
          <w:trHeight w:val="38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color w:val="000000"/>
                <w:lang w:eastAsia="ru-RU"/>
              </w:rPr>
              <w:t>ОФВ</w:t>
            </w:r>
            <w:proofErr w:type="gramStart"/>
            <w:r w:rsidRPr="002058C4">
              <w:rPr>
                <w:rFonts w:ascii="Arial Narrow" w:hAnsi="Arial Narrow"/>
                <w:color w:val="000000"/>
                <w:lang w:eastAsia="ru-RU"/>
              </w:rPr>
              <w:t>1</w:t>
            </w:r>
            <w:proofErr w:type="gramEnd"/>
            <w:r w:rsidRPr="002058C4">
              <w:rPr>
                <w:rFonts w:ascii="Arial Narrow" w:hAnsi="Arial Narrow"/>
                <w:color w:val="000000"/>
                <w:lang w:eastAsia="ru-RU"/>
              </w:rPr>
              <w:t xml:space="preserve"> % д.в.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63.4±4.8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68.3±9.3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&gt;0.05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53.3±5.7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62.1±4.9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A569CA"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 w:rsidRPr="00A569CA"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  <w:t>&lt;0.05*</w:t>
            </w:r>
          </w:p>
        </w:tc>
      </w:tr>
      <w:tr w:rsidR="00C703FE" w:rsidRPr="00DB7FBE" w:rsidTr="00A569CA">
        <w:trPr>
          <w:trHeight w:val="38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color w:val="000000"/>
                <w:lang w:eastAsia="ru-RU"/>
              </w:rPr>
              <w:t>МСВ75 % д.в.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42.2±6.5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55.8±7.9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A569CA"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 w:rsidRPr="00A569CA"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  <w:t>&lt;0.05*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46.9±9.4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57.0±9.1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A569CA"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 w:rsidRPr="00A569CA"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  <w:t>&lt;0.05*</w:t>
            </w:r>
          </w:p>
        </w:tc>
      </w:tr>
      <w:tr w:rsidR="00C703FE" w:rsidRPr="00DB7FBE" w:rsidTr="00A569CA">
        <w:trPr>
          <w:trHeight w:val="38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color w:val="000000"/>
                <w:lang w:eastAsia="ru-RU"/>
              </w:rPr>
              <w:t>МСВ50 % д</w:t>
            </w:r>
            <w:proofErr w:type="gramStart"/>
            <w:r w:rsidRPr="002058C4">
              <w:rPr>
                <w:rFonts w:ascii="Arial Narrow" w:hAnsi="Arial Narrow"/>
                <w:color w:val="000000"/>
                <w:lang w:eastAsia="ru-RU"/>
              </w:rPr>
              <w:t>.в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44.2±7.7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63.4±11.5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&gt;0.05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47.3±4.4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68.4±5.9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A569CA"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 w:rsidRPr="00A569CA">
              <w:rPr>
                <w:rFonts w:ascii="Arial Narrow" w:hAnsi="Arial Narrow"/>
                <w:b/>
                <w:bCs/>
                <w:color w:val="000000"/>
                <w:sz w:val="24"/>
                <w:szCs w:val="28"/>
                <w:lang w:eastAsia="ru-RU"/>
              </w:rPr>
              <w:t>&lt;0.05*</w:t>
            </w:r>
          </w:p>
        </w:tc>
      </w:tr>
      <w:tr w:rsidR="00C703FE" w:rsidRPr="00DB7FBE" w:rsidTr="00A569CA">
        <w:trPr>
          <w:trHeight w:val="38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color w:val="000000"/>
                <w:lang w:eastAsia="ru-RU"/>
              </w:rPr>
              <w:t>МСВ25 % д</w:t>
            </w:r>
            <w:proofErr w:type="gramStart"/>
            <w:r w:rsidRPr="002058C4">
              <w:rPr>
                <w:rFonts w:ascii="Arial Narrow" w:hAnsi="Arial Narrow"/>
                <w:color w:val="000000"/>
                <w:lang w:eastAsia="ru-RU"/>
              </w:rPr>
              <w:t>.в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52.6±6.2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58.7±5.3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&gt;0.05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44.2±7.5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42.7±8.9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&gt;0.05</w:t>
            </w:r>
          </w:p>
        </w:tc>
      </w:tr>
      <w:tr w:rsidR="00C703FE" w:rsidRPr="00DB7FBE" w:rsidTr="00A569CA">
        <w:trPr>
          <w:trHeight w:val="38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color w:val="000000"/>
                <w:lang w:eastAsia="ru-RU"/>
              </w:rPr>
              <w:t>DLCO % д.в.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48.1±5.3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49.5±6.3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&gt;0.05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42.1±5.5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42.8±4.5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&gt;0.05</w:t>
            </w:r>
          </w:p>
        </w:tc>
      </w:tr>
      <w:tr w:rsidR="00C703FE" w:rsidRPr="00DB7FBE" w:rsidTr="00A569CA">
        <w:trPr>
          <w:trHeight w:val="38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color w:val="000000"/>
                <w:lang w:eastAsia="ru-RU"/>
              </w:rPr>
              <w:t>DLCO/VA % д.в.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60.2±5.3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58.3±4.7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&gt;0.05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55.0±5.0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58.1±4.6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&gt;0.05</w:t>
            </w:r>
          </w:p>
        </w:tc>
      </w:tr>
      <w:tr w:rsidR="00C703FE" w:rsidRPr="00DB7FBE" w:rsidTr="00A569CA">
        <w:trPr>
          <w:trHeight w:val="39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703FE" w:rsidRPr="002058C4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lang w:eastAsia="ru-RU"/>
              </w:rPr>
            </w:pPr>
            <w:r w:rsidRPr="002058C4">
              <w:rPr>
                <w:rFonts w:ascii="Arial Narrow" w:hAnsi="Arial Narrow"/>
                <w:color w:val="000000"/>
                <w:lang w:eastAsia="ru-RU"/>
              </w:rPr>
              <w:t xml:space="preserve">PO2 </w:t>
            </w:r>
            <w:proofErr w:type="spellStart"/>
            <w:r w:rsidRPr="002058C4">
              <w:rPr>
                <w:rFonts w:ascii="Arial Narrow" w:hAnsi="Arial Narrow"/>
                <w:color w:val="000000"/>
                <w:lang w:eastAsia="ru-RU"/>
              </w:rPr>
              <w:t>мм</w:t>
            </w:r>
            <w:proofErr w:type="gramStart"/>
            <w:r w:rsidRPr="002058C4">
              <w:rPr>
                <w:rFonts w:ascii="Arial Narrow" w:hAnsi="Arial Narrow"/>
                <w:color w:val="000000"/>
                <w:lang w:eastAsia="ru-RU"/>
              </w:rPr>
              <w:t>.р</w:t>
            </w:r>
            <w:proofErr w:type="gramEnd"/>
            <w:r w:rsidRPr="002058C4">
              <w:rPr>
                <w:rFonts w:ascii="Arial Narrow" w:hAnsi="Arial Narrow"/>
                <w:color w:val="000000"/>
                <w:lang w:eastAsia="ru-RU"/>
              </w:rPr>
              <w:t>т.ст</w:t>
            </w:r>
            <w:proofErr w:type="spellEnd"/>
            <w:r w:rsidRPr="002058C4">
              <w:rPr>
                <w:rFonts w:ascii="Arial Narrow" w:hAnsi="Arial Narrow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67.5±2.5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70.2±2.4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&gt;0.05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62.3±3.8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64.1±4.5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703FE" w:rsidRPr="00A569CA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  <w:r w:rsidRPr="00A569CA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&gt;0.05</w:t>
            </w:r>
          </w:p>
        </w:tc>
      </w:tr>
    </w:tbl>
    <w:p w:rsidR="00C703FE" w:rsidRDefault="00C703FE" w:rsidP="008A45EB">
      <w:pPr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ожидаемый положительный эффект зарегистрирован не был. Поэтому мы не рекомендуем использовать схему ГКС+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N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АС в лечении больных хроническим вариантом ЭАА, где более эффективна комбинация с использованием системных ГКС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циклофосфамида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703FE" w:rsidRDefault="00C703FE" w:rsidP="003E730F">
      <w:pPr>
        <w:ind w:left="0" w:right="-1"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Рецидивирующий вариант ЭАА.</w:t>
      </w:r>
    </w:p>
    <w:p w:rsidR="00C703FE" w:rsidRDefault="00C703FE" w:rsidP="00E6327A">
      <w:pPr>
        <w:ind w:left="0" w:right="-1"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AF3AC1">
        <w:rPr>
          <w:rFonts w:ascii="Times New Roman" w:hAnsi="Times New Roman"/>
          <w:sz w:val="28"/>
          <w:szCs w:val="28"/>
          <w:lang w:eastAsia="ru-RU"/>
        </w:rPr>
        <w:t xml:space="preserve">У 8 пациентов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впервые </w:t>
      </w:r>
      <w:r w:rsidRPr="00AF3AC1">
        <w:rPr>
          <w:rFonts w:ascii="Times New Roman" w:hAnsi="Times New Roman"/>
          <w:sz w:val="28"/>
          <w:szCs w:val="28"/>
          <w:lang w:eastAsia="ru-RU"/>
        </w:rPr>
        <w:t xml:space="preserve">выделен особый вариант течения заболевания – рецидивирующий. </w:t>
      </w:r>
      <w:r>
        <w:rPr>
          <w:rFonts w:ascii="Times New Roman" w:hAnsi="Times New Roman"/>
          <w:sz w:val="28"/>
          <w:szCs w:val="28"/>
          <w:lang w:eastAsia="ru-RU"/>
        </w:rPr>
        <w:t>Они составили 7 группу наблюдения.</w:t>
      </w:r>
    </w:p>
    <w:p w:rsidR="00C703FE" w:rsidRDefault="00C703FE" w:rsidP="00D326E2">
      <w:pPr>
        <w:ind w:left="0" w:right="-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Учитывая обострение заболевания, всем пациентам сначала была применена схема терапии острого варианта, то есть  использование высоких доз ИГКС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плазмафереза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8849B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Однако, к концу 3 недели данная терапия была прекращена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т.к. положительной динамики со стороны клинических симптомов болезни зарегистрировано не было.  После чего всем больным назначено лечение системными ГКС в стандартной дозе 20 мг/сутки (в пересчете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преднизолон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продолжительностью 2 месяца. После проведенного лечения отмечено достоверное снижение выраженности клинических симптомов, уменьшение площади распространения симптома «матового стекла» при КТВР (</w:t>
      </w:r>
      <w:r w:rsidRPr="0024661D">
        <w:rPr>
          <w:rFonts w:ascii="Times New Roman" w:hAnsi="Times New Roman"/>
          <w:sz w:val="28"/>
          <w:szCs w:val="28"/>
          <w:lang w:eastAsia="ru-RU"/>
        </w:rPr>
        <w:t>табл. 10</w:t>
      </w:r>
      <w:r>
        <w:rPr>
          <w:rFonts w:ascii="Times New Roman" w:hAnsi="Times New Roman"/>
          <w:b/>
          <w:sz w:val="28"/>
          <w:szCs w:val="28"/>
          <w:lang w:eastAsia="ru-RU"/>
        </w:rPr>
        <w:t>),</w:t>
      </w:r>
      <w:r w:rsidRPr="00806E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улучшение показателей легочных объемов (ЖЕЛ, ОФВ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) 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газообменной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функции легких (РаО2, </w:t>
      </w:r>
      <w:r>
        <w:rPr>
          <w:rFonts w:ascii="Times New Roman" w:hAnsi="Times New Roman"/>
          <w:sz w:val="28"/>
          <w:szCs w:val="28"/>
          <w:lang w:val="en-US" w:eastAsia="ru-RU"/>
        </w:rPr>
        <w:t>DLCO</w:t>
      </w:r>
      <w:r w:rsidRPr="00E8106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DLCO</w:t>
      </w:r>
      <w:r w:rsidRPr="00E81068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val="en-US" w:eastAsia="ru-RU"/>
        </w:rPr>
        <w:t>VA</w:t>
      </w:r>
      <w:r w:rsidRPr="00E81068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4661D">
        <w:rPr>
          <w:rFonts w:ascii="Times New Roman" w:hAnsi="Times New Roman"/>
          <w:sz w:val="28"/>
          <w:szCs w:val="28"/>
          <w:lang w:eastAsia="ru-RU"/>
        </w:rPr>
        <w:t>табл. 11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703FE" w:rsidRPr="00D326E2" w:rsidRDefault="00C703FE" w:rsidP="00D326E2">
      <w:pPr>
        <w:spacing w:line="240" w:lineRule="auto"/>
        <w:ind w:left="0" w:right="-1" w:firstLine="0"/>
        <w:jc w:val="both"/>
        <w:rPr>
          <w:rFonts w:ascii="Arial Narrow" w:hAnsi="Arial Narrow" w:cs="Arial"/>
          <w:sz w:val="24"/>
          <w:szCs w:val="28"/>
          <w:lang w:eastAsia="ru-RU"/>
        </w:rPr>
      </w:pPr>
      <w:r w:rsidRPr="00D326E2">
        <w:rPr>
          <w:rFonts w:ascii="Arial Narrow" w:hAnsi="Arial Narrow" w:cs="Arial"/>
          <w:b/>
          <w:sz w:val="24"/>
          <w:szCs w:val="28"/>
          <w:lang w:eastAsia="ru-RU"/>
        </w:rPr>
        <w:t xml:space="preserve">Таблица 10. </w:t>
      </w:r>
      <w:r w:rsidRPr="00D326E2">
        <w:rPr>
          <w:rFonts w:ascii="Arial Narrow" w:hAnsi="Arial Narrow" w:cs="Arial"/>
          <w:sz w:val="24"/>
          <w:szCs w:val="28"/>
          <w:lang w:eastAsia="ru-RU"/>
        </w:rPr>
        <w:t>Динамика КИ и данных КТВР у больных рецидивирующим ЭАА до и после лечения.</w:t>
      </w:r>
    </w:p>
    <w:tbl>
      <w:tblPr>
        <w:tblW w:w="9451" w:type="dxa"/>
        <w:tblInd w:w="95" w:type="dxa"/>
        <w:tblLook w:val="00A0"/>
      </w:tblPr>
      <w:tblGrid>
        <w:gridCol w:w="3947"/>
        <w:gridCol w:w="2690"/>
        <w:gridCol w:w="2814"/>
      </w:tblGrid>
      <w:tr w:rsidR="00C703FE" w:rsidRPr="00DB7FBE" w:rsidTr="00D326E2">
        <w:trPr>
          <w:trHeight w:val="422"/>
        </w:trPr>
        <w:tc>
          <w:tcPr>
            <w:tcW w:w="39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703FE" w:rsidRPr="00D326E2" w:rsidRDefault="00C703FE" w:rsidP="00D326E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0"/>
                <w:szCs w:val="24"/>
                <w:lang w:eastAsia="ru-RU"/>
              </w:rPr>
            </w:pPr>
            <w:r w:rsidRPr="00F5485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703FE" w:rsidRPr="00D326E2" w:rsidRDefault="00C703FE" w:rsidP="00D326E2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D326E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Рецидивирующий вариант ЭАА, 7-я группа (n=8)</w:t>
            </w:r>
          </w:p>
        </w:tc>
      </w:tr>
      <w:tr w:rsidR="00C703FE" w:rsidRPr="00DB7FBE" w:rsidTr="00D326E2">
        <w:trPr>
          <w:trHeight w:val="374"/>
        </w:trPr>
        <w:tc>
          <w:tcPr>
            <w:tcW w:w="39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703FE" w:rsidRPr="00D326E2" w:rsidRDefault="00C703FE" w:rsidP="00D326E2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FE" w:rsidRPr="00D326E2" w:rsidRDefault="00C703FE" w:rsidP="00D326E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0"/>
                <w:szCs w:val="24"/>
                <w:lang w:eastAsia="ru-RU"/>
              </w:rPr>
            </w:pPr>
            <w:r w:rsidRPr="00D326E2">
              <w:rPr>
                <w:rFonts w:ascii="Arial Narrow" w:hAnsi="Arial Narrow"/>
                <w:color w:val="000000"/>
                <w:sz w:val="20"/>
                <w:szCs w:val="24"/>
                <w:lang w:eastAsia="ru-RU"/>
              </w:rPr>
              <w:t>до лечения (</w:t>
            </w:r>
            <w:proofErr w:type="spellStart"/>
            <w:r w:rsidRPr="00D326E2">
              <w:rPr>
                <w:rFonts w:ascii="Arial Narrow" w:hAnsi="Arial Narrow"/>
                <w:color w:val="000000"/>
                <w:sz w:val="20"/>
                <w:szCs w:val="24"/>
                <w:lang w:eastAsia="ru-RU"/>
              </w:rPr>
              <w:t>М±σ</w:t>
            </w:r>
            <w:proofErr w:type="spellEnd"/>
            <w:r w:rsidRPr="00D326E2">
              <w:rPr>
                <w:rFonts w:ascii="Arial Narrow" w:hAnsi="Arial Narrow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3FE" w:rsidRPr="00D326E2" w:rsidRDefault="00C703FE" w:rsidP="00D326E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0"/>
                <w:szCs w:val="24"/>
                <w:lang w:eastAsia="ru-RU"/>
              </w:rPr>
            </w:pPr>
            <w:r w:rsidRPr="00D326E2">
              <w:rPr>
                <w:rFonts w:ascii="Arial Narrow" w:hAnsi="Arial Narrow"/>
                <w:color w:val="000000"/>
                <w:sz w:val="20"/>
                <w:szCs w:val="24"/>
                <w:lang w:eastAsia="ru-RU"/>
              </w:rPr>
              <w:t>после лечения (</w:t>
            </w:r>
            <w:proofErr w:type="spellStart"/>
            <w:r w:rsidRPr="00D326E2">
              <w:rPr>
                <w:rFonts w:ascii="Arial Narrow" w:hAnsi="Arial Narrow"/>
                <w:color w:val="000000"/>
                <w:sz w:val="20"/>
                <w:szCs w:val="24"/>
                <w:lang w:eastAsia="ru-RU"/>
              </w:rPr>
              <w:t>М±σ</w:t>
            </w:r>
            <w:proofErr w:type="spellEnd"/>
            <w:r w:rsidRPr="00D326E2">
              <w:rPr>
                <w:rFonts w:ascii="Arial Narrow" w:hAnsi="Arial Narrow"/>
                <w:color w:val="000000"/>
                <w:sz w:val="20"/>
                <w:szCs w:val="24"/>
                <w:lang w:eastAsia="ru-RU"/>
              </w:rPr>
              <w:t>)</w:t>
            </w:r>
          </w:p>
        </w:tc>
      </w:tr>
      <w:tr w:rsidR="00C703FE" w:rsidRPr="00DB7FBE" w:rsidTr="00D326E2">
        <w:trPr>
          <w:trHeight w:val="268"/>
        </w:trPr>
        <w:tc>
          <w:tcPr>
            <w:tcW w:w="3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D326E2" w:rsidRDefault="00C703FE" w:rsidP="00D326E2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D326E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кум</w:t>
            </w:r>
            <w:proofErr w:type="gramStart"/>
            <w:r w:rsidRPr="00D326E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326E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6E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326E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ндекс (баллы)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3FE" w:rsidRPr="00D326E2" w:rsidRDefault="00C703FE" w:rsidP="00D326E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D326E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2.8±0.3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03FE" w:rsidRPr="00D326E2" w:rsidRDefault="00C703FE" w:rsidP="00D326E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D326E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0.9±0.1</w:t>
            </w:r>
          </w:p>
        </w:tc>
      </w:tr>
      <w:tr w:rsidR="00C703FE" w:rsidRPr="00DB7FBE" w:rsidTr="00D326E2">
        <w:trPr>
          <w:trHeight w:val="278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D326E2" w:rsidRDefault="00C703FE" w:rsidP="00D326E2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D326E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"Матовое стекло" КТВР  (баллы)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03FE" w:rsidRPr="00D326E2" w:rsidRDefault="00C703FE" w:rsidP="00D326E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D326E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3.3±0.4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3FE" w:rsidRPr="00D326E2" w:rsidRDefault="00C703FE" w:rsidP="00D326E2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r w:rsidRPr="00D326E2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1.9±0.3</w:t>
            </w:r>
          </w:p>
        </w:tc>
      </w:tr>
    </w:tbl>
    <w:p w:rsidR="00C703FE" w:rsidRPr="00D326E2" w:rsidRDefault="00C703FE" w:rsidP="00D326E2">
      <w:pPr>
        <w:ind w:left="0" w:right="-1" w:firstLine="0"/>
        <w:jc w:val="both"/>
        <w:rPr>
          <w:rFonts w:ascii="Arial Narrow" w:hAnsi="Arial Narrow"/>
          <w:szCs w:val="28"/>
          <w:lang w:eastAsia="ru-RU"/>
        </w:rPr>
      </w:pPr>
      <w:r w:rsidRPr="00D326E2">
        <w:rPr>
          <w:rFonts w:ascii="Arial Narrow" w:hAnsi="Arial Narrow"/>
          <w:b/>
          <w:szCs w:val="28"/>
          <w:lang w:eastAsia="ru-RU"/>
        </w:rPr>
        <w:t xml:space="preserve">Таблица 11. </w:t>
      </w:r>
      <w:r w:rsidRPr="00D326E2">
        <w:rPr>
          <w:rFonts w:ascii="Arial Narrow" w:hAnsi="Arial Narrow"/>
          <w:szCs w:val="28"/>
          <w:lang w:eastAsia="ru-RU"/>
        </w:rPr>
        <w:t xml:space="preserve">Изменение функциональных показателей у больных </w:t>
      </w:r>
      <w:proofErr w:type="gramStart"/>
      <w:r w:rsidRPr="00D326E2">
        <w:rPr>
          <w:rFonts w:ascii="Arial Narrow" w:hAnsi="Arial Narrow"/>
          <w:szCs w:val="28"/>
          <w:lang w:eastAsia="ru-RU"/>
        </w:rPr>
        <w:t>рецидивирующим</w:t>
      </w:r>
      <w:proofErr w:type="gramEnd"/>
      <w:r w:rsidRPr="00D326E2">
        <w:rPr>
          <w:rFonts w:ascii="Arial Narrow" w:hAnsi="Arial Narrow"/>
          <w:szCs w:val="28"/>
          <w:lang w:eastAsia="ru-RU"/>
        </w:rPr>
        <w:t xml:space="preserve"> ЭАА до и после лечения.</w:t>
      </w:r>
    </w:p>
    <w:tbl>
      <w:tblPr>
        <w:tblW w:w="9440" w:type="dxa"/>
        <w:tblInd w:w="95" w:type="dxa"/>
        <w:tblLook w:val="00A0"/>
      </w:tblPr>
      <w:tblGrid>
        <w:gridCol w:w="3514"/>
        <w:gridCol w:w="1892"/>
        <w:gridCol w:w="2404"/>
        <w:gridCol w:w="1630"/>
      </w:tblGrid>
      <w:tr w:rsidR="00C703FE" w:rsidRPr="00DB7FBE" w:rsidTr="00D326E2">
        <w:trPr>
          <w:trHeight w:val="362"/>
        </w:trPr>
        <w:tc>
          <w:tcPr>
            <w:tcW w:w="35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функциональные показатели</w:t>
            </w:r>
          </w:p>
        </w:tc>
        <w:tc>
          <w:tcPr>
            <w:tcW w:w="59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703FE" w:rsidRPr="00806E31" w:rsidRDefault="00C703FE" w:rsidP="00D326E2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ru-RU"/>
              </w:rPr>
              <w:t>Рецидивирующий вариант ЭАА, 7-я группа (n=8)</w:t>
            </w:r>
          </w:p>
        </w:tc>
      </w:tr>
      <w:tr w:rsidR="00C703FE" w:rsidRPr="00DB7FBE" w:rsidTr="00D326E2">
        <w:trPr>
          <w:trHeight w:val="500"/>
        </w:trPr>
        <w:tc>
          <w:tcPr>
            <w:tcW w:w="35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3FE" w:rsidRPr="00D326E2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D326E2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до лечения (</w:t>
            </w:r>
            <w:proofErr w:type="spellStart"/>
            <w:r w:rsidRPr="00D326E2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М±σ</w:t>
            </w:r>
            <w:proofErr w:type="spellEnd"/>
            <w:r w:rsidRPr="00D326E2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3FE" w:rsidRPr="00D326E2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r w:rsidRPr="00D326E2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после лечения (</w:t>
            </w:r>
            <w:proofErr w:type="spellStart"/>
            <w:r w:rsidRPr="00D326E2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М±σ</w:t>
            </w:r>
            <w:proofErr w:type="spellEnd"/>
            <w:r w:rsidRPr="00D326E2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703FE" w:rsidRPr="00D326E2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D326E2">
              <w:rPr>
                <w:rFonts w:ascii="Arial Narrow" w:hAnsi="Arial Narrow"/>
                <w:color w:val="000000"/>
                <w:sz w:val="24"/>
                <w:szCs w:val="28"/>
                <w:lang w:eastAsia="ru-RU"/>
              </w:rPr>
              <w:t>Р</w:t>
            </w:r>
            <w:proofErr w:type="gramEnd"/>
          </w:p>
        </w:tc>
      </w:tr>
      <w:tr w:rsidR="00C703FE" w:rsidRPr="00DB7FBE" w:rsidTr="00D326E2">
        <w:trPr>
          <w:trHeight w:val="417"/>
        </w:trPr>
        <w:tc>
          <w:tcPr>
            <w:tcW w:w="3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ЖЕЛ % д.в.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104.2±6.4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111.5±5.7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06E3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06E3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ru-RU"/>
              </w:rPr>
              <w:t>&lt;0.01**</w:t>
            </w:r>
          </w:p>
        </w:tc>
      </w:tr>
      <w:tr w:rsidR="00C703FE" w:rsidRPr="00DB7FBE" w:rsidTr="00D326E2">
        <w:trPr>
          <w:trHeight w:val="350"/>
        </w:trPr>
        <w:tc>
          <w:tcPr>
            <w:tcW w:w="3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ОФВ</w:t>
            </w:r>
            <w:proofErr w:type="gramStart"/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% д.в.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94.1±5.7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103.3±5.2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06E3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06E3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ru-RU"/>
              </w:rPr>
              <w:t>&lt;0.01**</w:t>
            </w:r>
          </w:p>
        </w:tc>
      </w:tr>
      <w:tr w:rsidR="00C703FE" w:rsidRPr="00DB7FBE" w:rsidTr="00D326E2">
        <w:trPr>
          <w:trHeight w:val="350"/>
        </w:trPr>
        <w:tc>
          <w:tcPr>
            <w:tcW w:w="3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МСВ75 % д.в.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70.5±10.8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76.8±8.9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&gt;0.05</w:t>
            </w:r>
          </w:p>
        </w:tc>
      </w:tr>
      <w:tr w:rsidR="00C703FE" w:rsidRPr="00DB7FBE" w:rsidTr="00D326E2">
        <w:trPr>
          <w:trHeight w:val="292"/>
        </w:trPr>
        <w:tc>
          <w:tcPr>
            <w:tcW w:w="3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МСВ50 % д</w:t>
            </w:r>
            <w:proofErr w:type="gramStart"/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80.6±14.5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90.0±11.9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&gt;0.05</w:t>
            </w:r>
          </w:p>
        </w:tc>
      </w:tr>
      <w:tr w:rsidR="00C703FE" w:rsidRPr="00DB7FBE" w:rsidTr="00D326E2">
        <w:trPr>
          <w:trHeight w:val="362"/>
        </w:trPr>
        <w:tc>
          <w:tcPr>
            <w:tcW w:w="3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МСВ25 % д</w:t>
            </w:r>
            <w:proofErr w:type="gramStart"/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86.2±12.2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98.0±14.3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&gt;0.05</w:t>
            </w:r>
          </w:p>
        </w:tc>
      </w:tr>
      <w:tr w:rsidR="00C703FE" w:rsidRPr="00DB7FBE" w:rsidTr="00D326E2">
        <w:trPr>
          <w:trHeight w:val="362"/>
        </w:trPr>
        <w:tc>
          <w:tcPr>
            <w:tcW w:w="3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DLCO % д.в.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71.6±5.2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74.3±4.9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06E3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06E3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ru-RU"/>
              </w:rPr>
              <w:t>&lt;0.05*</w:t>
            </w:r>
          </w:p>
        </w:tc>
      </w:tr>
      <w:tr w:rsidR="00C703FE" w:rsidRPr="00DB7FBE" w:rsidTr="00D326E2">
        <w:trPr>
          <w:trHeight w:val="350"/>
        </w:trPr>
        <w:tc>
          <w:tcPr>
            <w:tcW w:w="3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DLCO/VA % д.в.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76.6±2.6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82.9±2.4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06E3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06E3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ru-RU"/>
              </w:rPr>
              <w:t>&lt;0.05*</w:t>
            </w:r>
          </w:p>
        </w:tc>
      </w:tr>
      <w:tr w:rsidR="00C703FE" w:rsidRPr="00DB7FBE" w:rsidTr="00D326E2">
        <w:trPr>
          <w:trHeight w:val="362"/>
        </w:trPr>
        <w:tc>
          <w:tcPr>
            <w:tcW w:w="3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jc w:val="left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PO2 </w:t>
            </w:r>
            <w:proofErr w:type="spellStart"/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мм</w:t>
            </w:r>
            <w:proofErr w:type="gramStart"/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т.ст</w:t>
            </w:r>
            <w:proofErr w:type="spellEnd"/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72.5±2.9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806E31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77.5±1.8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03FE" w:rsidRPr="00806E31" w:rsidRDefault="00C703FE" w:rsidP="00580893">
            <w:pPr>
              <w:spacing w:before="0" w:line="240" w:lineRule="auto"/>
              <w:ind w:left="0" w:right="0" w:firstLine="0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06E3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06E31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ru-RU"/>
              </w:rPr>
              <w:t>&lt;0.05*</w:t>
            </w:r>
          </w:p>
        </w:tc>
      </w:tr>
    </w:tbl>
    <w:p w:rsidR="00C703FE" w:rsidRDefault="00C703FE" w:rsidP="00CE5DDA">
      <w:pPr>
        <w:pStyle w:val="a4"/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03FE" w:rsidRDefault="00C703FE" w:rsidP="00CE5DDA">
      <w:pPr>
        <w:pStyle w:val="a4"/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03FE" w:rsidRPr="003A625B" w:rsidRDefault="00C703FE" w:rsidP="00CE5DDA">
      <w:pPr>
        <w:pStyle w:val="a4"/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5DDA">
        <w:rPr>
          <w:rFonts w:ascii="Times New Roman" w:hAnsi="Times New Roman"/>
          <w:b/>
          <w:sz w:val="28"/>
          <w:szCs w:val="28"/>
          <w:lang w:eastAsia="ru-RU"/>
        </w:rPr>
        <w:lastRenderedPageBreak/>
        <w:t>Выводы.</w:t>
      </w:r>
      <w:r w:rsidRPr="00CE5DDA">
        <w:rPr>
          <w:rFonts w:ascii="Times New Roman" w:hAnsi="Times New Roman"/>
          <w:b/>
          <w:szCs w:val="28"/>
          <w:lang w:eastAsia="ru-RU"/>
        </w:rPr>
        <w:t xml:space="preserve"> </w:t>
      </w:r>
    </w:p>
    <w:p w:rsidR="00C703FE" w:rsidRPr="003A70A1" w:rsidRDefault="00C703FE" w:rsidP="003A70A1">
      <w:pPr>
        <w:pStyle w:val="a4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0A1">
        <w:rPr>
          <w:rFonts w:ascii="Times New Roman" w:hAnsi="Times New Roman"/>
          <w:sz w:val="28"/>
          <w:szCs w:val="28"/>
          <w:lang w:eastAsia="ru-RU"/>
        </w:rPr>
        <w:t xml:space="preserve">Клинико-рентгенологическое обследование больных  ЭАА с  комплексным изучением легочной ткани, материалов БАЛ, крови и применением современных методов исследования позволяет выделить четыре варианта течения заболевания: острый, </w:t>
      </w:r>
      <w:proofErr w:type="spellStart"/>
      <w:r w:rsidRPr="003A70A1">
        <w:rPr>
          <w:rFonts w:ascii="Times New Roman" w:hAnsi="Times New Roman"/>
          <w:sz w:val="28"/>
          <w:szCs w:val="28"/>
          <w:lang w:eastAsia="ru-RU"/>
        </w:rPr>
        <w:t>подострый</w:t>
      </w:r>
      <w:proofErr w:type="spellEnd"/>
      <w:r w:rsidRPr="003A70A1">
        <w:rPr>
          <w:rFonts w:ascii="Times New Roman" w:hAnsi="Times New Roman"/>
          <w:sz w:val="28"/>
          <w:szCs w:val="28"/>
          <w:lang w:eastAsia="ru-RU"/>
        </w:rPr>
        <w:t xml:space="preserve">, хронический, рецидивирующий, отражающие проявления </w:t>
      </w:r>
      <w:proofErr w:type="spellStart"/>
      <w:r w:rsidRPr="003A70A1">
        <w:rPr>
          <w:rFonts w:ascii="Times New Roman" w:hAnsi="Times New Roman"/>
          <w:sz w:val="28"/>
          <w:szCs w:val="28"/>
          <w:lang w:eastAsia="ru-RU"/>
        </w:rPr>
        <w:t>иммуннокомплексного</w:t>
      </w:r>
      <w:proofErr w:type="spellEnd"/>
      <w:r w:rsidRPr="003A70A1">
        <w:rPr>
          <w:rFonts w:ascii="Times New Roman" w:hAnsi="Times New Roman"/>
          <w:sz w:val="28"/>
          <w:szCs w:val="28"/>
          <w:lang w:eastAsia="ru-RU"/>
        </w:rPr>
        <w:t xml:space="preserve"> воспаления в дистальных отделах легкого в зависимости от длительности и природы воздействия </w:t>
      </w:r>
      <w:proofErr w:type="spellStart"/>
      <w:r w:rsidRPr="003A70A1">
        <w:rPr>
          <w:rFonts w:ascii="Times New Roman" w:hAnsi="Times New Roman"/>
          <w:sz w:val="28"/>
          <w:szCs w:val="28"/>
          <w:lang w:eastAsia="ru-RU"/>
        </w:rPr>
        <w:t>этиологически</w:t>
      </w:r>
      <w:proofErr w:type="spellEnd"/>
      <w:r w:rsidRPr="003A70A1">
        <w:rPr>
          <w:rFonts w:ascii="Times New Roman" w:hAnsi="Times New Roman"/>
          <w:sz w:val="28"/>
          <w:szCs w:val="28"/>
          <w:lang w:eastAsia="ru-RU"/>
        </w:rPr>
        <w:t xml:space="preserve"> значимых аллергенов.</w:t>
      </w:r>
    </w:p>
    <w:p w:rsidR="00C703FE" w:rsidRDefault="00C703FE" w:rsidP="00F54852">
      <w:pPr>
        <w:pStyle w:val="a4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25B">
        <w:rPr>
          <w:rFonts w:ascii="Times New Roman" w:hAnsi="Times New Roman"/>
          <w:sz w:val="28"/>
          <w:szCs w:val="28"/>
          <w:lang w:eastAsia="ru-RU"/>
        </w:rPr>
        <w:t xml:space="preserve"> Наиболее частой причиной заболевания при остром и рецидивирующем вариантах </w:t>
      </w:r>
      <w:r>
        <w:rPr>
          <w:rFonts w:ascii="Times New Roman" w:hAnsi="Times New Roman"/>
          <w:sz w:val="28"/>
          <w:szCs w:val="28"/>
          <w:lang w:eastAsia="ru-RU"/>
        </w:rPr>
        <w:t xml:space="preserve">ЭАА </w:t>
      </w:r>
      <w:r w:rsidRPr="003A625B">
        <w:rPr>
          <w:rFonts w:ascii="Times New Roman" w:hAnsi="Times New Roman"/>
          <w:sz w:val="28"/>
          <w:szCs w:val="28"/>
          <w:lang w:eastAsia="ru-RU"/>
        </w:rPr>
        <w:t xml:space="preserve">(в 36,6% и 50% случаев  соответственно) являются плесневые и дрожжеподобные грибы рода </w:t>
      </w:r>
      <w:proofErr w:type="spellStart"/>
      <w:r w:rsidRPr="003A625B">
        <w:rPr>
          <w:rFonts w:ascii="Times New Roman" w:hAnsi="Times New Roman"/>
          <w:sz w:val="28"/>
          <w:szCs w:val="28"/>
          <w:lang w:eastAsia="ru-RU"/>
        </w:rPr>
        <w:t>Aspergillus</w:t>
      </w:r>
      <w:proofErr w:type="spellEnd"/>
      <w:r w:rsidRPr="003A625B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3A625B">
        <w:rPr>
          <w:rFonts w:ascii="Times New Roman" w:hAnsi="Times New Roman"/>
          <w:sz w:val="28"/>
          <w:szCs w:val="28"/>
          <w:lang w:eastAsia="ru-RU"/>
        </w:rPr>
        <w:t>Candida</w:t>
      </w:r>
      <w:proofErr w:type="spellEnd"/>
      <w:r w:rsidRPr="003A625B">
        <w:rPr>
          <w:rFonts w:ascii="Times New Roman" w:hAnsi="Times New Roman"/>
          <w:sz w:val="28"/>
          <w:szCs w:val="28"/>
          <w:lang w:eastAsia="ru-RU"/>
        </w:rPr>
        <w:t xml:space="preserve">, при </w:t>
      </w:r>
      <w:proofErr w:type="spellStart"/>
      <w:r w:rsidRPr="003A625B">
        <w:rPr>
          <w:rFonts w:ascii="Times New Roman" w:hAnsi="Times New Roman"/>
          <w:sz w:val="28"/>
          <w:szCs w:val="28"/>
          <w:lang w:eastAsia="ru-RU"/>
        </w:rPr>
        <w:t>подостром</w:t>
      </w:r>
      <w:proofErr w:type="spellEnd"/>
      <w:r w:rsidRPr="003A625B">
        <w:rPr>
          <w:rFonts w:ascii="Times New Roman" w:hAnsi="Times New Roman"/>
          <w:sz w:val="28"/>
          <w:szCs w:val="28"/>
          <w:lang w:eastAsia="ru-RU"/>
        </w:rPr>
        <w:t xml:space="preserve">  – белки животного происхождения (в 72,1 %</w:t>
      </w:r>
      <w:proofErr w:type="gramStart"/>
      <w:r w:rsidRPr="003A625B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3A625B">
        <w:rPr>
          <w:rFonts w:ascii="Times New Roman" w:hAnsi="Times New Roman"/>
          <w:sz w:val="28"/>
          <w:szCs w:val="28"/>
          <w:lang w:eastAsia="ru-RU"/>
        </w:rPr>
        <w:t xml:space="preserve"> при хроническом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25B">
        <w:rPr>
          <w:rFonts w:ascii="Times New Roman" w:hAnsi="Times New Roman"/>
          <w:sz w:val="28"/>
          <w:szCs w:val="28"/>
          <w:lang w:eastAsia="ru-RU"/>
        </w:rPr>
        <w:t xml:space="preserve">–  </w:t>
      </w:r>
      <w:r>
        <w:rPr>
          <w:rFonts w:ascii="Times New Roman" w:hAnsi="Times New Roman"/>
          <w:sz w:val="28"/>
          <w:szCs w:val="28"/>
          <w:lang w:eastAsia="ru-RU"/>
        </w:rPr>
        <w:t xml:space="preserve">библиотечная и строительная пыль </w:t>
      </w:r>
      <w:r w:rsidRPr="003A625B">
        <w:rPr>
          <w:rFonts w:ascii="Times New Roman" w:hAnsi="Times New Roman"/>
          <w:sz w:val="28"/>
          <w:szCs w:val="28"/>
          <w:lang w:eastAsia="ru-RU"/>
        </w:rPr>
        <w:t>( 58,2%).</w:t>
      </w:r>
    </w:p>
    <w:p w:rsidR="00C703FE" w:rsidRDefault="00C703FE" w:rsidP="00F54852">
      <w:pPr>
        <w:pStyle w:val="a4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03E">
        <w:rPr>
          <w:rFonts w:ascii="Times New Roman" w:hAnsi="Times New Roman"/>
          <w:sz w:val="28"/>
          <w:szCs w:val="28"/>
          <w:lang w:eastAsia="ru-RU"/>
        </w:rPr>
        <w:t xml:space="preserve">Установлено, что острый </w:t>
      </w:r>
      <w:r>
        <w:rPr>
          <w:rFonts w:ascii="Times New Roman" w:hAnsi="Times New Roman"/>
          <w:sz w:val="28"/>
          <w:szCs w:val="28"/>
          <w:lang w:eastAsia="ru-RU"/>
        </w:rPr>
        <w:t xml:space="preserve">и рецидивирующий </w:t>
      </w:r>
      <w:r w:rsidRPr="00A1603E">
        <w:rPr>
          <w:rFonts w:ascii="Times New Roman" w:hAnsi="Times New Roman"/>
          <w:sz w:val="28"/>
          <w:szCs w:val="28"/>
          <w:lang w:eastAsia="ru-RU"/>
        </w:rPr>
        <w:t>вариант</w:t>
      </w:r>
      <w:r>
        <w:rPr>
          <w:rFonts w:ascii="Times New Roman" w:hAnsi="Times New Roman"/>
          <w:sz w:val="28"/>
          <w:szCs w:val="28"/>
          <w:lang w:eastAsia="ru-RU"/>
        </w:rPr>
        <w:t>ы ЭАА  на КТВР</w:t>
      </w:r>
      <w:r w:rsidRPr="002D1A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603E">
        <w:rPr>
          <w:rFonts w:ascii="Times New Roman" w:hAnsi="Times New Roman"/>
          <w:sz w:val="28"/>
          <w:szCs w:val="28"/>
          <w:lang w:eastAsia="ru-RU"/>
        </w:rPr>
        <w:t>в 100% случаев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проявляю</w:t>
      </w:r>
      <w:r w:rsidRPr="00A1603E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симптомом </w:t>
      </w:r>
      <w:r w:rsidRPr="00A1603E">
        <w:rPr>
          <w:rFonts w:ascii="Times New Roman" w:hAnsi="Times New Roman"/>
          <w:sz w:val="28"/>
          <w:szCs w:val="28"/>
          <w:lang w:eastAsia="ru-RU"/>
        </w:rPr>
        <w:t>«матового стекла»,</w:t>
      </w:r>
      <w:r>
        <w:rPr>
          <w:rFonts w:ascii="Times New Roman" w:hAnsi="Times New Roman"/>
          <w:sz w:val="28"/>
          <w:szCs w:val="28"/>
          <w:lang w:eastAsia="ru-RU"/>
        </w:rPr>
        <w:t xml:space="preserve"> но </w:t>
      </w:r>
      <w:r w:rsidRPr="00A160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 рецидивирующем</w:t>
      </w:r>
      <w:r w:rsidRPr="00A160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варианте эти изменения сочетаются с утолщением внутридолькового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междолькового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интерстиция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62,5% случаев. 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подострого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варианта характерна мелкоочаговая диссеминация</w:t>
      </w:r>
      <w:r w:rsidRPr="00A1603E">
        <w:rPr>
          <w:rFonts w:ascii="Times New Roman" w:hAnsi="Times New Roman"/>
          <w:sz w:val="28"/>
          <w:szCs w:val="28"/>
          <w:lang w:eastAsia="ru-RU"/>
        </w:rPr>
        <w:t xml:space="preserve"> (в 79,1% случаев), </w:t>
      </w:r>
      <w:r>
        <w:rPr>
          <w:rFonts w:ascii="Times New Roman" w:hAnsi="Times New Roman"/>
          <w:sz w:val="28"/>
          <w:szCs w:val="28"/>
          <w:lang w:eastAsia="ru-RU"/>
        </w:rPr>
        <w:t>для хронического</w:t>
      </w:r>
      <w:r w:rsidRPr="00A1603E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картина</w:t>
      </w:r>
      <w:r w:rsidRPr="00A1603E">
        <w:rPr>
          <w:rFonts w:ascii="Times New Roman" w:hAnsi="Times New Roman"/>
          <w:sz w:val="28"/>
          <w:szCs w:val="28"/>
          <w:lang w:eastAsia="ru-RU"/>
        </w:rPr>
        <w:t xml:space="preserve"> «сотового легкого» в сочетании с </w:t>
      </w:r>
      <w:proofErr w:type="spellStart"/>
      <w:r w:rsidRPr="00A1603E">
        <w:rPr>
          <w:rFonts w:ascii="Times New Roman" w:hAnsi="Times New Roman"/>
          <w:sz w:val="28"/>
          <w:szCs w:val="28"/>
          <w:lang w:eastAsia="ru-RU"/>
        </w:rPr>
        <w:t>тракционными</w:t>
      </w:r>
      <w:proofErr w:type="spellEnd"/>
      <w:r w:rsidRPr="00A160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603E">
        <w:rPr>
          <w:rFonts w:ascii="Times New Roman" w:hAnsi="Times New Roman"/>
          <w:sz w:val="28"/>
          <w:szCs w:val="28"/>
          <w:lang w:eastAsia="ru-RU"/>
        </w:rPr>
        <w:t>бронхоэктазами</w:t>
      </w:r>
      <w:proofErr w:type="spellEnd"/>
      <w:r w:rsidRPr="00A160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A1603E">
        <w:rPr>
          <w:rFonts w:ascii="Times New Roman" w:hAnsi="Times New Roman"/>
          <w:sz w:val="28"/>
          <w:szCs w:val="28"/>
          <w:lang w:eastAsia="ru-RU"/>
        </w:rPr>
        <w:t>в 70,8% случаев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C703FE" w:rsidRDefault="00C703FE" w:rsidP="00F54852">
      <w:pPr>
        <w:pStyle w:val="a4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Гистологическое исследование легочной ткани отражает особенности патогенеза ЭАА, значительно варьирует при различных вариантах заболевания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коррелирует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данными КТВР. При остром варианте наблюдается развитие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бронхиолита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мононуклеарного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альвеолита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при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подостром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формирование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макрофагально-лимфоцитарных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гранулемоподобных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скоплений без наличия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эпителиоидных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клеток, при хроническом варианте -  диффузного интерстициального фиброза с зонами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фиброателектаза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эмфиземы и кистозных полостей, </w:t>
      </w:r>
      <w:r w:rsidRPr="00867B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рецидивирующем варианте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мононуклеарных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инфильтратов на фоне умеренно выраженного легочного фиброза.</w:t>
      </w:r>
    </w:p>
    <w:p w:rsidR="00C703FE" w:rsidRPr="00CE5DDA" w:rsidRDefault="00C703FE" w:rsidP="00F54852">
      <w:pPr>
        <w:pStyle w:val="a4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DD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всех вариантах ЭАА </w:t>
      </w:r>
      <w:r>
        <w:rPr>
          <w:rFonts w:ascii="Times New Roman" w:hAnsi="Times New Roman"/>
          <w:sz w:val="28"/>
          <w:szCs w:val="28"/>
          <w:lang w:eastAsia="ru-RU"/>
        </w:rPr>
        <w:t>происходит нарушение</w:t>
      </w:r>
      <w:r w:rsidRPr="00CE5DDA">
        <w:rPr>
          <w:rFonts w:ascii="Times New Roman" w:hAnsi="Times New Roman"/>
          <w:sz w:val="28"/>
          <w:szCs w:val="28"/>
          <w:lang w:eastAsia="ru-RU"/>
        </w:rPr>
        <w:t xml:space="preserve"> функции легких. Снижение показателей </w:t>
      </w:r>
      <w:proofErr w:type="spellStart"/>
      <w:r w:rsidRPr="00CE5DDA">
        <w:rPr>
          <w:rFonts w:ascii="Times New Roman" w:hAnsi="Times New Roman"/>
          <w:sz w:val="28"/>
          <w:szCs w:val="28"/>
          <w:lang w:eastAsia="ru-RU"/>
        </w:rPr>
        <w:t>газообменной</w:t>
      </w:r>
      <w:proofErr w:type="spellEnd"/>
      <w:r w:rsidRPr="00CE5DDA">
        <w:rPr>
          <w:rFonts w:ascii="Times New Roman" w:hAnsi="Times New Roman"/>
          <w:sz w:val="28"/>
          <w:szCs w:val="28"/>
          <w:lang w:eastAsia="ru-RU"/>
        </w:rPr>
        <w:t xml:space="preserve"> функции  (</w:t>
      </w:r>
      <w:r w:rsidRPr="00CE5DDA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CE5DDA">
        <w:rPr>
          <w:rFonts w:ascii="Times New Roman" w:hAnsi="Times New Roman"/>
          <w:sz w:val="28"/>
          <w:szCs w:val="28"/>
          <w:lang w:eastAsia="ru-RU"/>
        </w:rPr>
        <w:t xml:space="preserve">аО2, </w:t>
      </w:r>
      <w:r w:rsidRPr="00CE5DDA">
        <w:rPr>
          <w:rFonts w:ascii="Times New Roman" w:hAnsi="Times New Roman"/>
          <w:sz w:val="28"/>
          <w:szCs w:val="28"/>
          <w:lang w:val="en-US" w:eastAsia="ru-RU"/>
        </w:rPr>
        <w:t>DLCO</w:t>
      </w:r>
      <w:r w:rsidRPr="00CE5DD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E5DDA">
        <w:rPr>
          <w:rFonts w:ascii="Times New Roman" w:hAnsi="Times New Roman"/>
          <w:sz w:val="28"/>
          <w:szCs w:val="28"/>
          <w:lang w:val="en-US" w:eastAsia="ru-RU"/>
        </w:rPr>
        <w:t>DLCO</w:t>
      </w:r>
      <w:r w:rsidRPr="00CE5DDA">
        <w:rPr>
          <w:rFonts w:ascii="Times New Roman" w:hAnsi="Times New Roman"/>
          <w:sz w:val="28"/>
          <w:szCs w:val="28"/>
          <w:lang w:eastAsia="ru-RU"/>
        </w:rPr>
        <w:t>/</w:t>
      </w:r>
      <w:r w:rsidRPr="00CE5DDA">
        <w:rPr>
          <w:rFonts w:ascii="Times New Roman" w:hAnsi="Times New Roman"/>
          <w:sz w:val="28"/>
          <w:szCs w:val="28"/>
          <w:lang w:val="en-US" w:eastAsia="ru-RU"/>
        </w:rPr>
        <w:t>VA</w:t>
      </w:r>
      <w:r w:rsidRPr="00CE5DDA">
        <w:rPr>
          <w:rFonts w:ascii="Times New Roman" w:hAnsi="Times New Roman"/>
          <w:sz w:val="28"/>
          <w:szCs w:val="28"/>
          <w:lang w:eastAsia="ru-RU"/>
        </w:rPr>
        <w:t xml:space="preserve">) и бронхиальной проходимости (МСВ 75,50,25) выявляются при остром (у 56,7% больных), </w:t>
      </w:r>
      <w:proofErr w:type="spellStart"/>
      <w:r w:rsidRPr="00CE5DDA">
        <w:rPr>
          <w:rFonts w:ascii="Times New Roman" w:hAnsi="Times New Roman"/>
          <w:sz w:val="28"/>
          <w:szCs w:val="28"/>
          <w:lang w:eastAsia="ru-RU"/>
        </w:rPr>
        <w:t>подостром</w:t>
      </w:r>
      <w:proofErr w:type="spellEnd"/>
      <w:r w:rsidRPr="00CE5DDA">
        <w:rPr>
          <w:rFonts w:ascii="Times New Roman" w:hAnsi="Times New Roman"/>
          <w:sz w:val="28"/>
          <w:szCs w:val="28"/>
          <w:lang w:eastAsia="ru-RU"/>
        </w:rPr>
        <w:t xml:space="preserve">  (у 66,2 % больных) и рецидивир</w:t>
      </w:r>
      <w:r>
        <w:rPr>
          <w:rFonts w:ascii="Times New Roman" w:hAnsi="Times New Roman"/>
          <w:sz w:val="28"/>
          <w:szCs w:val="28"/>
          <w:lang w:eastAsia="ru-RU"/>
        </w:rPr>
        <w:t>ующем вариантах (у 75% больных).</w:t>
      </w:r>
      <w:r w:rsidRPr="00CE5D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E5DDA">
        <w:rPr>
          <w:rFonts w:ascii="Times New Roman" w:hAnsi="Times New Roman"/>
          <w:sz w:val="28"/>
          <w:szCs w:val="28"/>
          <w:lang w:eastAsia="ru-RU"/>
        </w:rPr>
        <w:t xml:space="preserve">ри хроническом варианте эти изменения  определяются чаще </w:t>
      </w:r>
      <w:r>
        <w:rPr>
          <w:rFonts w:ascii="Times New Roman" w:hAnsi="Times New Roman"/>
          <w:sz w:val="28"/>
          <w:szCs w:val="28"/>
          <w:lang w:eastAsia="ru-RU"/>
        </w:rPr>
        <w:t>всего (у 83% больных),</w:t>
      </w:r>
      <w:r w:rsidRPr="00CE5DDA">
        <w:rPr>
          <w:rFonts w:ascii="Times New Roman" w:hAnsi="Times New Roman"/>
          <w:sz w:val="28"/>
          <w:szCs w:val="28"/>
          <w:lang w:eastAsia="ru-RU"/>
        </w:rPr>
        <w:t xml:space="preserve"> в 58% случаев сочетаются со снижением показателей ле</w:t>
      </w:r>
      <w:r>
        <w:rPr>
          <w:rFonts w:ascii="Times New Roman" w:hAnsi="Times New Roman"/>
          <w:sz w:val="28"/>
          <w:szCs w:val="28"/>
          <w:lang w:eastAsia="ru-RU"/>
        </w:rPr>
        <w:t>гочных объемов (ЖЕЛ и ОФВ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).</w:t>
      </w:r>
      <w:r w:rsidRPr="00CE5D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E5DDA">
        <w:rPr>
          <w:rFonts w:ascii="Times New Roman" w:hAnsi="Times New Roman"/>
          <w:sz w:val="28"/>
          <w:szCs w:val="28"/>
          <w:lang w:eastAsia="ru-RU"/>
        </w:rPr>
        <w:t xml:space="preserve">тепень выраженности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нарушений функции дыхания </w:t>
      </w:r>
      <w:r w:rsidRPr="00CE5DDA">
        <w:rPr>
          <w:rFonts w:ascii="Times New Roman" w:hAnsi="Times New Roman"/>
          <w:sz w:val="28"/>
          <w:szCs w:val="28"/>
          <w:lang w:eastAsia="ru-RU"/>
        </w:rPr>
        <w:t>значительно выше</w:t>
      </w:r>
      <w:r>
        <w:rPr>
          <w:rFonts w:ascii="Times New Roman" w:hAnsi="Times New Roman"/>
          <w:sz w:val="28"/>
          <w:szCs w:val="28"/>
          <w:lang w:eastAsia="ru-RU"/>
        </w:rPr>
        <w:t>, чем при остальных вариантах заболевания (</w:t>
      </w:r>
      <w:r w:rsidRPr="00CE5DDA">
        <w:rPr>
          <w:rFonts w:ascii="Times New Roman" w:hAnsi="Times New Roman"/>
          <w:sz w:val="28"/>
          <w:szCs w:val="28"/>
          <w:lang w:eastAsia="ru-RU"/>
        </w:rPr>
        <w:t>от 59 до 40% д.</w:t>
      </w:r>
      <w:proofErr w:type="gramStart"/>
      <w:r w:rsidRPr="00CE5DD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CE5DD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C703FE" w:rsidRDefault="00C703FE" w:rsidP="00F54852">
      <w:pPr>
        <w:pStyle w:val="a4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Показано ограниченное применение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эндопульмональной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цитограммы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определении варианта ЭАА, где характерные изменения клеточного состава БАЛ наблюдаются только при остром варианте (63,86±3,23% лимфоцитов, 8,79±2,44% нейтрофилов) заболевания.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Более чувствительным показателем является индекс </w:t>
      </w:r>
      <w:r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83496C">
        <w:rPr>
          <w:rFonts w:ascii="Times New Roman" w:hAnsi="Times New Roman"/>
          <w:sz w:val="28"/>
          <w:szCs w:val="28"/>
          <w:lang w:eastAsia="ru-RU"/>
        </w:rPr>
        <w:t>4/</w:t>
      </w:r>
      <w:r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83496C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, величина которого определена для острого  (1,15±0,45),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подострого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(0,61±0,13) и хронического (0,4±0,02) вариантов.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Дополнительным методом диагностики является определение процентного содержания  в БАЛ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апоптозных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лимфоцитов, максимально выраженное при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подостром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варианте заболевания (до 49%).</w:t>
      </w:r>
    </w:p>
    <w:p w:rsidR="00C703FE" w:rsidRDefault="00C703FE" w:rsidP="00F54852">
      <w:pPr>
        <w:pStyle w:val="a4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Установлены характерные показатели макрофагальной формулы БАЛ, в полной мере отражающие особенности патогенеза ЭАА и имеющие самостоятельное значение для верификации варианта заболевания. При остром варианте наблюдается приток в легкие молодых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неактивированных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мононуклеаров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(31,81±3,08%), при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подостром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преобладают  молодые</w:t>
      </w:r>
      <w:r w:rsidRPr="003804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активированные макрофаги (19,18±2,1%) и зрелые фагоциты (66,05±3,82%). При хроническом варианте относительное процентное содержание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неактивированных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молодых макрофагов не отличается от нормы, но вновь повышается при рецидиве заболевания (</w:t>
      </w:r>
      <w:r w:rsidRPr="00B65716">
        <w:rPr>
          <w:rFonts w:ascii="Times New Roman" w:hAnsi="Times New Roman"/>
          <w:sz w:val="28"/>
          <w:szCs w:val="28"/>
          <w:lang w:eastAsia="ru-RU"/>
        </w:rPr>
        <w:t>25,81±5,09</w:t>
      </w:r>
      <w:r>
        <w:rPr>
          <w:rFonts w:ascii="Times New Roman" w:hAnsi="Times New Roman"/>
          <w:sz w:val="28"/>
          <w:szCs w:val="28"/>
          <w:lang w:eastAsia="ru-RU"/>
        </w:rPr>
        <w:t>%).</w:t>
      </w:r>
    </w:p>
    <w:p w:rsidR="00C703FE" w:rsidRDefault="00C703FE" w:rsidP="00F54852">
      <w:pPr>
        <w:pStyle w:val="a4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Исследование крови методом проточной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цитофлюорометрии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позволяет выявить достоверное  повышение процентного содержания В-клеток при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подостром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варианте ЭАА.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Характерно увеличение индекса  </w:t>
      </w:r>
      <w:r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D7241F">
        <w:rPr>
          <w:rFonts w:ascii="Times New Roman" w:hAnsi="Times New Roman"/>
          <w:sz w:val="28"/>
          <w:szCs w:val="28"/>
          <w:lang w:eastAsia="ru-RU"/>
        </w:rPr>
        <w:t>4/</w:t>
      </w:r>
      <w:r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D7241F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остром (до 2,35)  и его уменьшение при хроническом (до 1,46) вариантах, повышение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НК-клеток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остром (до 11,4%)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подостром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(до 11,79%) течении ЭАА.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Данное исследование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высокоинформативно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может использоваться в качестве самостоятельного метода для определения варианта ЭАА.</w:t>
      </w:r>
    </w:p>
    <w:p w:rsidR="00C703FE" w:rsidRPr="0083496C" w:rsidRDefault="00C703FE" w:rsidP="00F54852">
      <w:pPr>
        <w:pStyle w:val="a4"/>
        <w:tabs>
          <w:tab w:val="left" w:pos="0"/>
        </w:tabs>
        <w:ind w:left="0" w:firstLine="284"/>
        <w:rPr>
          <w:rFonts w:ascii="Times New Roman" w:hAnsi="Times New Roman"/>
          <w:sz w:val="28"/>
          <w:szCs w:val="28"/>
          <w:lang w:eastAsia="ru-RU"/>
        </w:rPr>
      </w:pPr>
    </w:p>
    <w:p w:rsidR="00C703FE" w:rsidRDefault="00C703FE" w:rsidP="00F54852">
      <w:pPr>
        <w:pStyle w:val="a4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Установлено, что и</w:t>
      </w:r>
      <w:r w:rsidRPr="003A625B">
        <w:rPr>
          <w:rFonts w:ascii="Times New Roman" w:hAnsi="Times New Roman"/>
          <w:sz w:val="28"/>
          <w:szCs w:val="28"/>
          <w:lang w:eastAsia="ru-RU"/>
        </w:rPr>
        <w:t xml:space="preserve">спользование  в лечении острого варианта ЭАА ингаляционного </w:t>
      </w:r>
      <w:proofErr w:type="spellStart"/>
      <w:r w:rsidRPr="003A625B">
        <w:rPr>
          <w:rFonts w:ascii="Times New Roman" w:hAnsi="Times New Roman"/>
          <w:sz w:val="28"/>
          <w:szCs w:val="28"/>
          <w:lang w:eastAsia="ru-RU"/>
        </w:rPr>
        <w:t>флютиказона</w:t>
      </w:r>
      <w:proofErr w:type="spellEnd"/>
      <w:r w:rsidRPr="003A62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дозе 2500 мкг/ сутки в течение 1 месяца в сочетании с курсом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плазмаферезов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(3 операции с интервалом 7 дней)  яв</w:t>
      </w:r>
      <w:r w:rsidRPr="003A625B">
        <w:rPr>
          <w:rFonts w:ascii="Times New Roman" w:hAnsi="Times New Roman"/>
          <w:sz w:val="28"/>
          <w:szCs w:val="28"/>
          <w:lang w:eastAsia="ru-RU"/>
        </w:rPr>
        <w:t>ляется не менее эффективным методом, чем применение системных ГКС</w:t>
      </w:r>
      <w:r>
        <w:rPr>
          <w:rFonts w:ascii="Times New Roman" w:hAnsi="Times New Roman"/>
          <w:sz w:val="28"/>
          <w:szCs w:val="28"/>
          <w:lang w:eastAsia="ru-RU"/>
        </w:rPr>
        <w:t xml:space="preserve"> в дозе 15 мг/сутки</w:t>
      </w:r>
      <w:r w:rsidRPr="003A625B">
        <w:rPr>
          <w:rFonts w:ascii="Times New Roman" w:hAnsi="Times New Roman"/>
          <w:sz w:val="28"/>
          <w:szCs w:val="28"/>
          <w:lang w:eastAsia="ru-RU"/>
        </w:rPr>
        <w:t>. Оно приводит к снижению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тяжести клинических симптомов</w:t>
      </w:r>
      <w:r w:rsidRPr="003A625B">
        <w:rPr>
          <w:rFonts w:ascii="Times New Roman" w:hAnsi="Times New Roman"/>
          <w:sz w:val="28"/>
          <w:szCs w:val="28"/>
          <w:lang w:eastAsia="ru-RU"/>
        </w:rPr>
        <w:t>, увеличению толерантности к физической нагрузке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A625B">
        <w:rPr>
          <w:rFonts w:ascii="Times New Roman" w:hAnsi="Times New Roman"/>
          <w:sz w:val="28"/>
          <w:szCs w:val="28"/>
          <w:lang w:eastAsia="ru-RU"/>
        </w:rPr>
        <w:t>, повышению РаО2 до 71,5±</w:t>
      </w:r>
      <w:r>
        <w:rPr>
          <w:rFonts w:ascii="Times New Roman" w:hAnsi="Times New Roman"/>
          <w:sz w:val="28"/>
          <w:szCs w:val="28"/>
          <w:lang w:eastAsia="ru-RU"/>
        </w:rPr>
        <w:t xml:space="preserve">1,3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т.ст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 DLCO до 87,9±2,5 % д.в.</w:t>
      </w:r>
      <w:r w:rsidRPr="003A625B">
        <w:rPr>
          <w:rFonts w:ascii="Times New Roman" w:hAnsi="Times New Roman"/>
          <w:sz w:val="28"/>
          <w:szCs w:val="28"/>
          <w:lang w:eastAsia="ru-RU"/>
        </w:rPr>
        <w:t>, уменьшению площади распространения симптома «матового стекла» с 3,1±0,2 до 1,6±0,2 баллов. При этом не происходит декомпенсации сопутствующих заболеваний</w:t>
      </w:r>
      <w:r>
        <w:rPr>
          <w:rFonts w:ascii="Times New Roman" w:hAnsi="Times New Roman"/>
          <w:sz w:val="28"/>
          <w:szCs w:val="28"/>
          <w:lang w:eastAsia="ru-RU"/>
        </w:rPr>
        <w:t>, как это наблюдается</w:t>
      </w:r>
      <w:r w:rsidRPr="003A625B">
        <w:rPr>
          <w:rFonts w:ascii="Times New Roman" w:hAnsi="Times New Roman"/>
          <w:sz w:val="28"/>
          <w:szCs w:val="28"/>
          <w:lang w:eastAsia="ru-RU"/>
        </w:rPr>
        <w:t xml:space="preserve"> у 18,8% больных, получающих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монотерапию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системными</w:t>
      </w:r>
      <w:proofErr w:type="gramEnd"/>
      <w:r w:rsidRPr="003A625B">
        <w:rPr>
          <w:rFonts w:ascii="Times New Roman" w:hAnsi="Times New Roman"/>
          <w:sz w:val="28"/>
          <w:szCs w:val="28"/>
          <w:lang w:eastAsia="ru-RU"/>
        </w:rPr>
        <w:t xml:space="preserve"> ГКС. </w:t>
      </w:r>
    </w:p>
    <w:p w:rsidR="00C703FE" w:rsidRPr="00C23F0A" w:rsidRDefault="00C703FE" w:rsidP="00F54852">
      <w:pPr>
        <w:pStyle w:val="a4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284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BA235D">
        <w:rPr>
          <w:rFonts w:ascii="Times New Roman" w:hAnsi="Times New Roman"/>
          <w:sz w:val="28"/>
          <w:szCs w:val="28"/>
          <w:lang w:eastAsia="ru-RU"/>
        </w:rPr>
        <w:t>больных с рецидиви</w:t>
      </w:r>
      <w:r>
        <w:rPr>
          <w:rFonts w:ascii="Times New Roman" w:hAnsi="Times New Roman"/>
          <w:sz w:val="28"/>
          <w:szCs w:val="28"/>
          <w:lang w:eastAsia="ru-RU"/>
        </w:rPr>
        <w:t>рующим вариантом ЭАА установлена</w:t>
      </w:r>
      <w:r w:rsidRPr="00BA23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необходимость </w:t>
      </w:r>
      <w:r w:rsidRPr="00BA235D">
        <w:rPr>
          <w:rFonts w:ascii="Times New Roman" w:hAnsi="Times New Roman"/>
          <w:sz w:val="28"/>
          <w:szCs w:val="28"/>
          <w:lang w:eastAsia="ru-RU"/>
        </w:rPr>
        <w:t>применения системных ГКС</w:t>
      </w:r>
      <w:r>
        <w:rPr>
          <w:rFonts w:ascii="Times New Roman" w:hAnsi="Times New Roman"/>
          <w:sz w:val="28"/>
          <w:szCs w:val="28"/>
          <w:lang w:eastAsia="ru-RU"/>
        </w:rPr>
        <w:t xml:space="preserve"> в дозе 20 мг/сутки</w:t>
      </w:r>
      <w:r w:rsidRPr="00BA235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приводит к снижению</w:t>
      </w:r>
      <w:r w:rsidRPr="00BA23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КИ с</w:t>
      </w:r>
      <w:r w:rsidRPr="00074F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2,8</w:t>
      </w:r>
      <w:r w:rsidRPr="00AF3AC1">
        <w:rPr>
          <w:rFonts w:ascii="Times New Roman" w:hAnsi="Times New Roman"/>
          <w:sz w:val="28"/>
          <w:szCs w:val="28"/>
          <w:lang w:eastAsia="ru-RU"/>
        </w:rPr>
        <w:t>±</w:t>
      </w:r>
      <w:r>
        <w:rPr>
          <w:rFonts w:ascii="Times New Roman" w:hAnsi="Times New Roman"/>
          <w:sz w:val="28"/>
          <w:szCs w:val="28"/>
          <w:lang w:eastAsia="ru-RU"/>
        </w:rPr>
        <w:t>0,3 до 0,9</w:t>
      </w:r>
      <w:r w:rsidRPr="00AF3AC1">
        <w:rPr>
          <w:rFonts w:ascii="Times New Roman" w:hAnsi="Times New Roman"/>
          <w:sz w:val="28"/>
          <w:szCs w:val="28"/>
          <w:lang w:eastAsia="ru-RU"/>
        </w:rPr>
        <w:t>±</w:t>
      </w:r>
      <w:r>
        <w:rPr>
          <w:rFonts w:ascii="Times New Roman" w:hAnsi="Times New Roman"/>
          <w:sz w:val="28"/>
          <w:szCs w:val="28"/>
          <w:lang w:eastAsia="ru-RU"/>
        </w:rPr>
        <w:t>0,1 баллов,  увеличению</w:t>
      </w:r>
      <w:r w:rsidRPr="00BA235D">
        <w:rPr>
          <w:rFonts w:ascii="Times New Roman" w:hAnsi="Times New Roman"/>
          <w:sz w:val="28"/>
          <w:szCs w:val="28"/>
          <w:lang w:eastAsia="ru-RU"/>
        </w:rPr>
        <w:t xml:space="preserve"> показателей РаО2 - до 72.5±2.9 </w:t>
      </w:r>
      <w:proofErr w:type="spellStart"/>
      <w:r w:rsidRPr="00BA235D">
        <w:rPr>
          <w:rFonts w:ascii="Times New Roman" w:hAnsi="Times New Roman"/>
          <w:sz w:val="28"/>
          <w:szCs w:val="28"/>
          <w:lang w:eastAsia="ru-RU"/>
        </w:rPr>
        <w:t>мм</w:t>
      </w:r>
      <w:proofErr w:type="gramStart"/>
      <w:r w:rsidRPr="00BA235D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BA235D">
        <w:rPr>
          <w:rFonts w:ascii="Times New Roman" w:hAnsi="Times New Roman"/>
          <w:sz w:val="28"/>
          <w:szCs w:val="28"/>
          <w:lang w:eastAsia="ru-RU"/>
        </w:rPr>
        <w:t>т</w:t>
      </w:r>
      <w:proofErr w:type="spellEnd"/>
      <w:r w:rsidRPr="00BA235D">
        <w:rPr>
          <w:rFonts w:ascii="Times New Roman" w:hAnsi="Times New Roman"/>
          <w:sz w:val="28"/>
          <w:szCs w:val="28"/>
          <w:lang w:eastAsia="ru-RU"/>
        </w:rPr>
        <w:t>. ст. и DLCO  до 74.3±4.9</w:t>
      </w:r>
      <w:r>
        <w:rPr>
          <w:rFonts w:ascii="Times New Roman" w:hAnsi="Times New Roman"/>
          <w:sz w:val="28"/>
          <w:szCs w:val="28"/>
          <w:lang w:eastAsia="ru-RU"/>
        </w:rPr>
        <w:t xml:space="preserve"> % д.в.,  уменьшению  площади</w:t>
      </w:r>
      <w:r w:rsidRPr="00BA235D">
        <w:rPr>
          <w:rFonts w:ascii="Times New Roman" w:hAnsi="Times New Roman"/>
          <w:sz w:val="28"/>
          <w:szCs w:val="28"/>
          <w:lang w:eastAsia="ru-RU"/>
        </w:rPr>
        <w:t xml:space="preserve"> распространения симптома «матового стекла»</w:t>
      </w:r>
      <w:r>
        <w:rPr>
          <w:rFonts w:ascii="Times New Roman" w:hAnsi="Times New Roman"/>
          <w:sz w:val="28"/>
          <w:szCs w:val="28"/>
          <w:lang w:eastAsia="ru-RU"/>
        </w:rPr>
        <w:t xml:space="preserve"> с 3,3</w:t>
      </w:r>
      <w:r w:rsidRPr="00AF3AC1">
        <w:rPr>
          <w:rFonts w:ascii="Times New Roman" w:hAnsi="Times New Roman"/>
          <w:sz w:val="28"/>
          <w:szCs w:val="28"/>
          <w:lang w:eastAsia="ru-RU"/>
        </w:rPr>
        <w:t>±</w:t>
      </w:r>
      <w:r>
        <w:rPr>
          <w:rFonts w:ascii="Times New Roman" w:hAnsi="Times New Roman"/>
          <w:sz w:val="28"/>
          <w:szCs w:val="28"/>
          <w:lang w:eastAsia="ru-RU"/>
        </w:rPr>
        <w:t>0,4 до 1,9</w:t>
      </w:r>
      <w:r w:rsidRPr="00AF3AC1">
        <w:rPr>
          <w:rFonts w:ascii="Times New Roman" w:hAnsi="Times New Roman"/>
          <w:sz w:val="28"/>
          <w:szCs w:val="28"/>
          <w:lang w:eastAsia="ru-RU"/>
        </w:rPr>
        <w:t>±</w:t>
      </w:r>
      <w:r>
        <w:rPr>
          <w:rFonts w:ascii="Times New Roman" w:hAnsi="Times New Roman"/>
          <w:sz w:val="28"/>
          <w:szCs w:val="28"/>
          <w:lang w:eastAsia="ru-RU"/>
        </w:rPr>
        <w:t>0,3 баллов</w:t>
      </w:r>
      <w:r w:rsidRPr="00BA235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703FE" w:rsidRPr="00C23F0A" w:rsidRDefault="00C703FE" w:rsidP="00F54852">
      <w:pPr>
        <w:pStyle w:val="a4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F0A">
        <w:rPr>
          <w:rFonts w:ascii="Times New Roman" w:hAnsi="Times New Roman"/>
          <w:sz w:val="28"/>
          <w:szCs w:val="28"/>
          <w:lang w:eastAsia="ru-RU"/>
        </w:rPr>
        <w:t xml:space="preserve">  Показано,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длительная </w:t>
      </w:r>
      <w:r w:rsidRPr="00C23F0A">
        <w:rPr>
          <w:rFonts w:ascii="Times New Roman" w:hAnsi="Times New Roman"/>
          <w:sz w:val="28"/>
          <w:szCs w:val="28"/>
          <w:lang w:eastAsia="ru-RU"/>
        </w:rPr>
        <w:t xml:space="preserve">ингаляционная терапия </w:t>
      </w:r>
      <w:r>
        <w:rPr>
          <w:rFonts w:ascii="Times New Roman" w:hAnsi="Times New Roman"/>
          <w:sz w:val="28"/>
          <w:szCs w:val="28"/>
          <w:lang w:eastAsia="ru-RU"/>
        </w:rPr>
        <w:t xml:space="preserve">больных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подострым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вариантом ЭАА </w:t>
      </w:r>
      <w:proofErr w:type="spellStart"/>
      <w:r w:rsidRPr="00C23F0A">
        <w:rPr>
          <w:rFonts w:ascii="Times New Roman" w:hAnsi="Times New Roman"/>
          <w:sz w:val="28"/>
          <w:szCs w:val="28"/>
          <w:lang w:eastAsia="ru-RU"/>
        </w:rPr>
        <w:t>амброксолом</w:t>
      </w:r>
      <w:proofErr w:type="spellEnd"/>
      <w:r w:rsidRPr="00C23F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(15 мг/сутки) </w:t>
      </w:r>
      <w:r w:rsidRPr="00C23F0A">
        <w:rPr>
          <w:rFonts w:ascii="Times New Roman" w:hAnsi="Times New Roman"/>
          <w:sz w:val="28"/>
          <w:szCs w:val="28"/>
          <w:lang w:eastAsia="ru-RU"/>
        </w:rPr>
        <w:t xml:space="preserve">позволяет снизить дозу системных ГКС вдвое (до 10 мг/сутки), </w:t>
      </w:r>
      <w:r>
        <w:rPr>
          <w:rFonts w:ascii="Times New Roman" w:hAnsi="Times New Roman"/>
          <w:sz w:val="28"/>
          <w:szCs w:val="28"/>
          <w:lang w:eastAsia="ru-RU"/>
        </w:rPr>
        <w:t>обеспечивает  снижение</w:t>
      </w:r>
      <w:r w:rsidRPr="00C23F0A">
        <w:rPr>
          <w:rFonts w:ascii="Times New Roman" w:hAnsi="Times New Roman"/>
          <w:sz w:val="28"/>
          <w:szCs w:val="28"/>
          <w:lang w:eastAsia="ru-RU"/>
        </w:rPr>
        <w:t xml:space="preserve"> КИ 2,8±0,2 до 1,3±</w:t>
      </w:r>
      <w:r>
        <w:rPr>
          <w:rFonts w:ascii="Times New Roman" w:hAnsi="Times New Roman"/>
          <w:sz w:val="28"/>
          <w:szCs w:val="28"/>
          <w:lang w:eastAsia="ru-RU"/>
        </w:rPr>
        <w:t>0,2 баллов, повышение</w:t>
      </w:r>
      <w:r w:rsidRPr="00C23F0A">
        <w:rPr>
          <w:rFonts w:ascii="Times New Roman" w:hAnsi="Times New Roman"/>
          <w:sz w:val="28"/>
          <w:szCs w:val="28"/>
          <w:lang w:eastAsia="ru-RU"/>
        </w:rPr>
        <w:t xml:space="preserve"> показателей МСВ50 до 88,0±7,4</w:t>
      </w:r>
      <w:r>
        <w:rPr>
          <w:rFonts w:ascii="Times New Roman" w:hAnsi="Times New Roman"/>
          <w:sz w:val="28"/>
          <w:szCs w:val="28"/>
          <w:lang w:eastAsia="ru-RU"/>
        </w:rPr>
        <w:t xml:space="preserve"> %д.в., МСВ25 до 68,2±6,0 %д.в.</w:t>
      </w:r>
      <w:r w:rsidRPr="00C23F0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РаО2 до 73,5±1,9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т.ст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C23F0A">
        <w:rPr>
          <w:rFonts w:ascii="Times New Roman" w:hAnsi="Times New Roman"/>
          <w:sz w:val="28"/>
          <w:szCs w:val="28"/>
          <w:lang w:eastAsia="ru-RU"/>
        </w:rPr>
        <w:t xml:space="preserve">, DLCO </w:t>
      </w:r>
      <w:r>
        <w:rPr>
          <w:rFonts w:ascii="Times New Roman" w:hAnsi="Times New Roman"/>
          <w:sz w:val="28"/>
          <w:szCs w:val="28"/>
          <w:lang w:eastAsia="ru-RU"/>
        </w:rPr>
        <w:t>до 68,9±3,4 % д.в., уменьшение</w:t>
      </w:r>
      <w:r w:rsidRPr="00C23F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площади распространения </w:t>
      </w:r>
      <w:r w:rsidRPr="00C23F0A">
        <w:rPr>
          <w:rFonts w:ascii="Times New Roman" w:hAnsi="Times New Roman"/>
          <w:sz w:val="28"/>
          <w:szCs w:val="28"/>
          <w:lang w:eastAsia="ru-RU"/>
        </w:rPr>
        <w:t>диссеминации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 3,1 до 1,7 баллов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ри этом побочные эффекты отмечены у 12% больных, тогда как в группе сравнения (ГКС 20 мг/сутки)  - у</w:t>
      </w:r>
      <w:r w:rsidRPr="00C23F0A">
        <w:rPr>
          <w:rFonts w:ascii="Times New Roman" w:hAnsi="Times New Roman"/>
          <w:sz w:val="28"/>
          <w:szCs w:val="28"/>
          <w:lang w:eastAsia="ru-RU"/>
        </w:rPr>
        <w:t xml:space="preserve"> 42%</w:t>
      </w:r>
      <w:r>
        <w:rPr>
          <w:rFonts w:ascii="Times New Roman" w:hAnsi="Times New Roman"/>
          <w:sz w:val="28"/>
          <w:szCs w:val="28"/>
          <w:lang w:eastAsia="ru-RU"/>
        </w:rPr>
        <w:t>больных</w:t>
      </w:r>
      <w:r w:rsidRPr="00C23F0A">
        <w:rPr>
          <w:rFonts w:ascii="Times New Roman" w:hAnsi="Times New Roman"/>
          <w:sz w:val="28"/>
          <w:szCs w:val="28"/>
          <w:lang w:eastAsia="ru-RU"/>
        </w:rPr>
        <w:t>.</w:t>
      </w:r>
    </w:p>
    <w:p w:rsidR="00C703FE" w:rsidRPr="00CE5DDA" w:rsidRDefault="00C703FE" w:rsidP="00F54852">
      <w:pPr>
        <w:pStyle w:val="a4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5DDA">
        <w:rPr>
          <w:rFonts w:ascii="Times New Roman" w:hAnsi="Times New Roman"/>
          <w:sz w:val="28"/>
          <w:szCs w:val="28"/>
          <w:lang w:eastAsia="ru-RU"/>
        </w:rPr>
        <w:t xml:space="preserve">Установлено, что использование высоких доз  </w:t>
      </w:r>
      <w:proofErr w:type="spellStart"/>
      <w:r w:rsidRPr="00CE5DDA">
        <w:rPr>
          <w:rFonts w:ascii="Times New Roman" w:hAnsi="Times New Roman"/>
          <w:sz w:val="28"/>
          <w:szCs w:val="28"/>
          <w:lang w:eastAsia="ru-RU"/>
        </w:rPr>
        <w:t>N-ацетилцистеина</w:t>
      </w:r>
      <w:proofErr w:type="spellEnd"/>
      <w:r w:rsidRPr="00CE5DDA">
        <w:rPr>
          <w:rFonts w:ascii="Times New Roman" w:hAnsi="Times New Roman"/>
          <w:sz w:val="28"/>
          <w:szCs w:val="28"/>
          <w:lang w:eastAsia="ru-RU"/>
        </w:rPr>
        <w:t xml:space="preserve"> (1800 мг/сутки)  в комбинации с системными ГКС (15 мг/сутки)  в терапии больных </w:t>
      </w:r>
      <w:r w:rsidRPr="00CE5DDA">
        <w:rPr>
          <w:rFonts w:ascii="Times New Roman" w:hAnsi="Times New Roman"/>
          <w:sz w:val="28"/>
          <w:szCs w:val="28"/>
          <w:lang w:eastAsia="ru-RU"/>
        </w:rPr>
        <w:lastRenderedPageBreak/>
        <w:t>хроническим вариантом ЭАА   является малоэффективны</w:t>
      </w:r>
      <w:r>
        <w:rPr>
          <w:rFonts w:ascii="Times New Roman" w:hAnsi="Times New Roman"/>
          <w:sz w:val="28"/>
          <w:szCs w:val="28"/>
          <w:lang w:eastAsia="ru-RU"/>
        </w:rPr>
        <w:t xml:space="preserve">м и не может быть рекомендовано для практического применения. </w:t>
      </w:r>
      <w:r w:rsidRPr="00CE5D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CE5DDA">
        <w:rPr>
          <w:rFonts w:ascii="Times New Roman" w:hAnsi="Times New Roman"/>
          <w:sz w:val="28"/>
          <w:szCs w:val="28"/>
          <w:lang w:eastAsia="ru-RU"/>
        </w:rPr>
        <w:t>циклофосфамида</w:t>
      </w:r>
      <w:proofErr w:type="spellEnd"/>
      <w:r w:rsidRPr="00CE5DDA">
        <w:rPr>
          <w:rFonts w:ascii="Times New Roman" w:hAnsi="Times New Roman"/>
          <w:sz w:val="28"/>
          <w:szCs w:val="28"/>
          <w:lang w:eastAsia="ru-RU"/>
        </w:rPr>
        <w:t xml:space="preserve">  в сочетании с аналогичной дозой ГКС более эффективно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 w:rsidRPr="00CE5DDA">
        <w:rPr>
          <w:rFonts w:ascii="Times New Roman" w:hAnsi="Times New Roman"/>
          <w:sz w:val="28"/>
          <w:szCs w:val="28"/>
          <w:lang w:eastAsia="ru-RU"/>
        </w:rPr>
        <w:t xml:space="preserve"> выражается в регрессии КИ с 3,8±0,2 до 2,7±0,3 баллов,  улучшении картины КТВР с 2,5 до 1,7 баллов, увеличении ЖЕЛ и ОФВ</w:t>
      </w:r>
      <w:proofErr w:type="gramStart"/>
      <w:r w:rsidRPr="00CE5DDA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CE5DDA">
        <w:rPr>
          <w:rFonts w:ascii="Times New Roman" w:hAnsi="Times New Roman"/>
          <w:sz w:val="28"/>
          <w:szCs w:val="28"/>
          <w:lang w:eastAsia="ru-RU"/>
        </w:rPr>
        <w:t xml:space="preserve"> (до 64,0±5,5 %д.в. и до 62,1±4,9 %д.в. соответственно), показателей бронхиальной проходимости МСВ 75 и МСВ 50 (до 57±9,1 % д.в. и до 68,4±5,9 %д.в.). </w:t>
      </w:r>
    </w:p>
    <w:p w:rsidR="00C703FE" w:rsidRPr="001229C7" w:rsidRDefault="00C703FE" w:rsidP="00CE5DDA">
      <w:pPr>
        <w:ind w:left="0" w:right="-1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1229C7">
        <w:rPr>
          <w:rFonts w:ascii="Times New Roman" w:hAnsi="Times New Roman"/>
          <w:b/>
          <w:sz w:val="28"/>
          <w:szCs w:val="28"/>
          <w:lang w:eastAsia="ru-RU"/>
        </w:rPr>
        <w:t>Практические рекомендации.</w:t>
      </w:r>
    </w:p>
    <w:p w:rsidR="00C703FE" w:rsidRPr="001229C7" w:rsidRDefault="00C703FE" w:rsidP="00D326E2">
      <w:pPr>
        <w:pStyle w:val="a4"/>
        <w:numPr>
          <w:ilvl w:val="0"/>
          <w:numId w:val="1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9C7">
        <w:rPr>
          <w:rFonts w:ascii="Times New Roman" w:hAnsi="Times New Roman"/>
          <w:sz w:val="28"/>
          <w:szCs w:val="28"/>
          <w:lang w:eastAsia="ru-RU"/>
        </w:rPr>
        <w:t>В обязательное обследование больных с диффузными двухсторонними изменениями в легких  наряду с общепринятыми лабораторными тестами, следует включать исследование спирометрии, диффузионной способности легких, КТВР грудной клетки, бронхоскопию с выполнением БАЛ, ЧБЛ  и последующим цитологическим и морфологическим изучением полученных материалов.</w:t>
      </w:r>
    </w:p>
    <w:p w:rsidR="00C703FE" w:rsidRPr="001229C7" w:rsidRDefault="00C703FE" w:rsidP="00D326E2">
      <w:pPr>
        <w:pStyle w:val="a4"/>
        <w:numPr>
          <w:ilvl w:val="0"/>
          <w:numId w:val="1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9C7">
        <w:rPr>
          <w:rFonts w:ascii="Times New Roman" w:hAnsi="Times New Roman"/>
          <w:sz w:val="28"/>
          <w:szCs w:val="28"/>
          <w:lang w:eastAsia="ru-RU"/>
        </w:rPr>
        <w:t>Для определения варианта течения ЭАА рекомендуется  выполнять исследование крови с определением количества</w:t>
      </w:r>
      <w:proofErr w:type="gramStart"/>
      <w:r w:rsidRPr="001229C7">
        <w:rPr>
          <w:rFonts w:ascii="Times New Roman" w:hAnsi="Times New Roman"/>
          <w:sz w:val="28"/>
          <w:szCs w:val="28"/>
          <w:lang w:eastAsia="ru-RU"/>
        </w:rPr>
        <w:t xml:space="preserve"> Т</w:t>
      </w:r>
      <w:proofErr w:type="gramEnd"/>
      <w:r w:rsidRPr="001229C7">
        <w:rPr>
          <w:rFonts w:ascii="Times New Roman" w:hAnsi="Times New Roman"/>
          <w:sz w:val="28"/>
          <w:szCs w:val="28"/>
          <w:lang w:eastAsia="ru-RU"/>
        </w:rPr>
        <w:t xml:space="preserve"> и В – клеток методом проточной </w:t>
      </w:r>
      <w:proofErr w:type="spellStart"/>
      <w:r w:rsidRPr="001229C7">
        <w:rPr>
          <w:rFonts w:ascii="Times New Roman" w:hAnsi="Times New Roman"/>
          <w:sz w:val="28"/>
          <w:szCs w:val="28"/>
          <w:lang w:eastAsia="ru-RU"/>
        </w:rPr>
        <w:t>цитофлюорометрии</w:t>
      </w:r>
      <w:proofErr w:type="spellEnd"/>
      <w:r w:rsidRPr="001229C7">
        <w:rPr>
          <w:rFonts w:ascii="Times New Roman" w:hAnsi="Times New Roman"/>
          <w:sz w:val="28"/>
          <w:szCs w:val="28"/>
          <w:lang w:eastAsia="ru-RU"/>
        </w:rPr>
        <w:t xml:space="preserve">, более подробное  изучение БАЛ с подсчетом макрофагальной формулы, определением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процентного содержания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апоаптозных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лимфоцитов, </w:t>
      </w:r>
      <w:r w:rsidRPr="001229C7">
        <w:rPr>
          <w:rFonts w:ascii="Times New Roman" w:hAnsi="Times New Roman"/>
          <w:sz w:val="28"/>
          <w:szCs w:val="28"/>
          <w:lang w:eastAsia="ru-RU"/>
        </w:rPr>
        <w:t>индекса соотношения CD4/CD8.</w:t>
      </w:r>
    </w:p>
    <w:p w:rsidR="00C703FE" w:rsidRPr="001229C7" w:rsidRDefault="00C703FE" w:rsidP="00D326E2">
      <w:pPr>
        <w:pStyle w:val="a4"/>
        <w:numPr>
          <w:ilvl w:val="0"/>
          <w:numId w:val="1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9C7">
        <w:rPr>
          <w:rFonts w:ascii="Times New Roman" w:hAnsi="Times New Roman"/>
          <w:sz w:val="28"/>
          <w:szCs w:val="28"/>
          <w:lang w:eastAsia="ru-RU"/>
        </w:rPr>
        <w:t xml:space="preserve">В комплексном лечении больных с верифицированным  острым вариантом ЭАА в качестве альтернативной терапии системными ГКС целесообразно использование высоких доз ингаляционного ГКС препарата – </w:t>
      </w:r>
      <w:proofErr w:type="spellStart"/>
      <w:r w:rsidRPr="001229C7">
        <w:rPr>
          <w:rFonts w:ascii="Times New Roman" w:hAnsi="Times New Roman"/>
          <w:sz w:val="28"/>
          <w:szCs w:val="28"/>
          <w:lang w:eastAsia="ru-RU"/>
        </w:rPr>
        <w:t>флютиказона</w:t>
      </w:r>
      <w:proofErr w:type="spellEnd"/>
      <w:r w:rsidRPr="001229C7">
        <w:rPr>
          <w:rFonts w:ascii="Times New Roman" w:hAnsi="Times New Roman"/>
          <w:sz w:val="28"/>
          <w:szCs w:val="28"/>
          <w:lang w:eastAsia="ru-RU"/>
        </w:rPr>
        <w:t xml:space="preserve"> в дозе 2500 мкг/сутки в сочетании с </w:t>
      </w:r>
      <w:proofErr w:type="spellStart"/>
      <w:r w:rsidRPr="001229C7">
        <w:rPr>
          <w:rFonts w:ascii="Times New Roman" w:hAnsi="Times New Roman"/>
          <w:sz w:val="28"/>
          <w:szCs w:val="28"/>
          <w:lang w:eastAsia="ru-RU"/>
        </w:rPr>
        <w:t>плазмаферезами</w:t>
      </w:r>
      <w:proofErr w:type="spellEnd"/>
      <w:r w:rsidRPr="001229C7">
        <w:rPr>
          <w:rFonts w:ascii="Times New Roman" w:hAnsi="Times New Roman"/>
          <w:sz w:val="28"/>
          <w:szCs w:val="28"/>
          <w:lang w:eastAsia="ru-RU"/>
        </w:rPr>
        <w:t xml:space="preserve">, состоящими из 3 операций с интервалом 7 дней. </w:t>
      </w:r>
    </w:p>
    <w:p w:rsidR="00C703FE" w:rsidRPr="001229C7" w:rsidRDefault="00C703FE" w:rsidP="00D326E2">
      <w:pPr>
        <w:pStyle w:val="a4"/>
        <w:numPr>
          <w:ilvl w:val="0"/>
          <w:numId w:val="1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9C7">
        <w:rPr>
          <w:rFonts w:ascii="Times New Roman" w:hAnsi="Times New Roman"/>
          <w:sz w:val="28"/>
          <w:szCs w:val="28"/>
          <w:lang w:eastAsia="ru-RU"/>
        </w:rPr>
        <w:t xml:space="preserve">У пациентов с  </w:t>
      </w:r>
      <w:proofErr w:type="spellStart"/>
      <w:r w:rsidRPr="001229C7">
        <w:rPr>
          <w:rFonts w:ascii="Times New Roman" w:hAnsi="Times New Roman"/>
          <w:sz w:val="28"/>
          <w:szCs w:val="28"/>
          <w:lang w:eastAsia="ru-RU"/>
        </w:rPr>
        <w:t>подострым</w:t>
      </w:r>
      <w:proofErr w:type="spellEnd"/>
      <w:r w:rsidRPr="001229C7">
        <w:rPr>
          <w:rFonts w:ascii="Times New Roman" w:hAnsi="Times New Roman"/>
          <w:sz w:val="28"/>
          <w:szCs w:val="28"/>
          <w:lang w:eastAsia="ru-RU"/>
        </w:rPr>
        <w:t xml:space="preserve"> вариантом ЭАА может быть рекомендована комбинация </w:t>
      </w:r>
      <w:proofErr w:type="spellStart"/>
      <w:r w:rsidRPr="001229C7">
        <w:rPr>
          <w:rFonts w:ascii="Times New Roman" w:hAnsi="Times New Roman"/>
          <w:sz w:val="28"/>
          <w:szCs w:val="28"/>
          <w:lang w:eastAsia="ru-RU"/>
        </w:rPr>
        <w:t>небулайзерных</w:t>
      </w:r>
      <w:proofErr w:type="spellEnd"/>
      <w:r w:rsidRPr="001229C7">
        <w:rPr>
          <w:rFonts w:ascii="Times New Roman" w:hAnsi="Times New Roman"/>
          <w:sz w:val="28"/>
          <w:szCs w:val="28"/>
          <w:lang w:eastAsia="ru-RU"/>
        </w:rPr>
        <w:t xml:space="preserve"> ингаляций </w:t>
      </w:r>
      <w:proofErr w:type="spellStart"/>
      <w:r w:rsidRPr="001229C7">
        <w:rPr>
          <w:rFonts w:ascii="Times New Roman" w:hAnsi="Times New Roman"/>
          <w:sz w:val="28"/>
          <w:szCs w:val="28"/>
          <w:lang w:eastAsia="ru-RU"/>
        </w:rPr>
        <w:t>амброксола</w:t>
      </w:r>
      <w:proofErr w:type="spellEnd"/>
      <w:r w:rsidRPr="001229C7">
        <w:rPr>
          <w:rFonts w:ascii="Times New Roman" w:hAnsi="Times New Roman"/>
          <w:sz w:val="28"/>
          <w:szCs w:val="28"/>
          <w:lang w:eastAsia="ru-RU"/>
        </w:rPr>
        <w:t xml:space="preserve"> 15 мг/сутки с системными ГКС препаратами 10 мг/сутки (в пересчете на </w:t>
      </w:r>
      <w:proofErr w:type="spellStart"/>
      <w:r w:rsidRPr="001229C7">
        <w:rPr>
          <w:rFonts w:ascii="Times New Roman" w:hAnsi="Times New Roman"/>
          <w:sz w:val="28"/>
          <w:szCs w:val="28"/>
          <w:lang w:eastAsia="ru-RU"/>
        </w:rPr>
        <w:t>преднизолон</w:t>
      </w:r>
      <w:proofErr w:type="spellEnd"/>
      <w:r w:rsidRPr="001229C7">
        <w:rPr>
          <w:rFonts w:ascii="Times New Roman" w:hAnsi="Times New Roman"/>
          <w:sz w:val="28"/>
          <w:szCs w:val="28"/>
          <w:lang w:eastAsia="ru-RU"/>
        </w:rPr>
        <w:t xml:space="preserve">) в течение 2 месяцев. </w:t>
      </w:r>
    </w:p>
    <w:p w:rsidR="00C703FE" w:rsidRPr="001229C7" w:rsidRDefault="00C703FE" w:rsidP="00D326E2">
      <w:pPr>
        <w:pStyle w:val="a4"/>
        <w:numPr>
          <w:ilvl w:val="0"/>
          <w:numId w:val="1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9C7">
        <w:rPr>
          <w:rFonts w:ascii="Times New Roman" w:hAnsi="Times New Roman"/>
          <w:sz w:val="28"/>
          <w:szCs w:val="28"/>
          <w:lang w:eastAsia="ru-RU"/>
        </w:rPr>
        <w:lastRenderedPageBreak/>
        <w:t>В лечении больных с хронически</w:t>
      </w:r>
      <w:r>
        <w:rPr>
          <w:rFonts w:ascii="Times New Roman" w:hAnsi="Times New Roman"/>
          <w:sz w:val="28"/>
          <w:szCs w:val="28"/>
          <w:lang w:eastAsia="ru-RU"/>
        </w:rPr>
        <w:t xml:space="preserve">м вариантом ЭАА более эффективно использование </w:t>
      </w:r>
      <w:r w:rsidRPr="001229C7">
        <w:rPr>
          <w:rFonts w:ascii="Times New Roman" w:hAnsi="Times New Roman"/>
          <w:sz w:val="28"/>
          <w:szCs w:val="28"/>
          <w:lang w:eastAsia="ru-RU"/>
        </w:rPr>
        <w:t xml:space="preserve">системных ГКС в дозе 15 мг/сутки с </w:t>
      </w:r>
      <w:proofErr w:type="spellStart"/>
      <w:r w:rsidRPr="001229C7">
        <w:rPr>
          <w:rFonts w:ascii="Times New Roman" w:hAnsi="Times New Roman"/>
          <w:sz w:val="28"/>
          <w:szCs w:val="28"/>
          <w:lang w:eastAsia="ru-RU"/>
        </w:rPr>
        <w:t>циклофофамидом</w:t>
      </w:r>
      <w:proofErr w:type="spellEnd"/>
      <w:r w:rsidRPr="001229C7">
        <w:rPr>
          <w:rFonts w:ascii="Times New Roman" w:hAnsi="Times New Roman"/>
          <w:sz w:val="28"/>
          <w:szCs w:val="28"/>
          <w:lang w:eastAsia="ru-RU"/>
        </w:rPr>
        <w:t xml:space="preserve"> (0,2 дважды в неделю), чем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применение </w:t>
      </w:r>
      <w:proofErr w:type="spellStart"/>
      <w:r w:rsidRPr="001229C7">
        <w:rPr>
          <w:rFonts w:ascii="Times New Roman" w:hAnsi="Times New Roman"/>
          <w:sz w:val="28"/>
          <w:szCs w:val="28"/>
          <w:lang w:eastAsia="ru-RU"/>
        </w:rPr>
        <w:t>ацетилцистеина</w:t>
      </w:r>
      <w:proofErr w:type="spellEnd"/>
      <w:r w:rsidRPr="001229C7">
        <w:rPr>
          <w:rFonts w:ascii="Times New Roman" w:hAnsi="Times New Roman"/>
          <w:sz w:val="28"/>
          <w:szCs w:val="28"/>
          <w:lang w:eastAsia="ru-RU"/>
        </w:rPr>
        <w:t xml:space="preserve"> 1800 мг/сутки с аналогичной дозой ГКС.</w:t>
      </w:r>
    </w:p>
    <w:p w:rsidR="00C703FE" w:rsidRPr="001229C7" w:rsidRDefault="00C703FE" w:rsidP="00D326E2">
      <w:pPr>
        <w:pStyle w:val="a4"/>
        <w:numPr>
          <w:ilvl w:val="0"/>
          <w:numId w:val="1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9C7">
        <w:rPr>
          <w:rFonts w:ascii="Times New Roman" w:hAnsi="Times New Roman"/>
          <w:sz w:val="28"/>
          <w:szCs w:val="28"/>
          <w:lang w:eastAsia="ru-RU"/>
        </w:rPr>
        <w:t>При рецид</w:t>
      </w:r>
      <w:r>
        <w:rPr>
          <w:rFonts w:ascii="Times New Roman" w:hAnsi="Times New Roman"/>
          <w:sz w:val="28"/>
          <w:szCs w:val="28"/>
          <w:lang w:eastAsia="ru-RU"/>
        </w:rPr>
        <w:t>ивирующем варианте ЭАА в лечении</w:t>
      </w:r>
      <w:r w:rsidRPr="001229C7">
        <w:rPr>
          <w:rFonts w:ascii="Times New Roman" w:hAnsi="Times New Roman"/>
          <w:sz w:val="28"/>
          <w:szCs w:val="28"/>
          <w:lang w:eastAsia="ru-RU"/>
        </w:rPr>
        <w:t xml:space="preserve"> больных следует использовать системные ГКС препараты в дозе 20 мг/сутки в течение 2 месяцев.</w:t>
      </w:r>
    </w:p>
    <w:p w:rsidR="00C703FE" w:rsidRPr="00E6327A" w:rsidRDefault="00C703FE" w:rsidP="00D326E2">
      <w:pPr>
        <w:pStyle w:val="a4"/>
        <w:numPr>
          <w:ilvl w:val="0"/>
          <w:numId w:val="1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7A">
        <w:rPr>
          <w:rFonts w:ascii="Times New Roman" w:hAnsi="Times New Roman"/>
          <w:sz w:val="28"/>
          <w:szCs w:val="28"/>
          <w:lang w:eastAsia="ru-RU"/>
        </w:rPr>
        <w:t xml:space="preserve">Эффективность терапии следует оценивать через 1 месяц для лиц с острым вариантом ЭАА, через 2 месяца для пациентов с </w:t>
      </w:r>
      <w:proofErr w:type="spellStart"/>
      <w:r w:rsidRPr="00E6327A">
        <w:rPr>
          <w:rFonts w:ascii="Times New Roman" w:hAnsi="Times New Roman"/>
          <w:sz w:val="28"/>
          <w:szCs w:val="28"/>
          <w:lang w:eastAsia="ru-RU"/>
        </w:rPr>
        <w:t>подострым</w:t>
      </w:r>
      <w:proofErr w:type="spellEnd"/>
      <w:r w:rsidRPr="00E6327A">
        <w:rPr>
          <w:rFonts w:ascii="Times New Roman" w:hAnsi="Times New Roman"/>
          <w:sz w:val="28"/>
          <w:szCs w:val="28"/>
          <w:lang w:eastAsia="ru-RU"/>
        </w:rPr>
        <w:t>, хроническим и рецидивирующим вариантами течения заболевания.</w:t>
      </w:r>
    </w:p>
    <w:p w:rsidR="00C703FE" w:rsidRPr="00FD57C3" w:rsidRDefault="00C703FE" w:rsidP="00CE5DDA">
      <w:pPr>
        <w:ind w:left="0" w:right="-13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FD57C3">
        <w:rPr>
          <w:rFonts w:ascii="Times New Roman" w:hAnsi="Times New Roman"/>
          <w:b/>
          <w:sz w:val="28"/>
          <w:szCs w:val="28"/>
          <w:lang w:eastAsia="ru-RU"/>
        </w:rPr>
        <w:t>Список публикаций</w:t>
      </w:r>
    </w:p>
    <w:p w:rsidR="00C703FE" w:rsidRPr="00B65716" w:rsidRDefault="00C703FE" w:rsidP="004538AB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 xml:space="preserve">Лепеха Л.Н.,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Н.Н., Антипова А.В. Морфологические особенности лёгких </w:t>
      </w:r>
      <w:proofErr w:type="gramStart"/>
      <w:r w:rsidRPr="00B65716"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экзогенных аллергических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альвеолитах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различной природы. Тезисы 20 национального конгресса по болезням органов дыхания.- ХХ сб.тр.- 2010.-  С.213-214.</w:t>
      </w:r>
    </w:p>
    <w:p w:rsidR="00C703FE" w:rsidRDefault="00C703FE" w:rsidP="004538AB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 xml:space="preserve">Шмелев Е.И.,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Н.Н. Опыт применения высоких доз ингаляционных кортикостероидов в сочетании с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плазм</w:t>
      </w:r>
      <w:proofErr w:type="gramStart"/>
      <w:r w:rsidRPr="00B65716">
        <w:rPr>
          <w:rFonts w:ascii="Times New Roman" w:hAnsi="Times New Roman"/>
          <w:sz w:val="24"/>
          <w:szCs w:val="24"/>
          <w:lang w:eastAsia="ru-RU"/>
        </w:rPr>
        <w:t>a</w:t>
      </w:r>
      <w:proofErr w:type="gramEnd"/>
      <w:r w:rsidRPr="00B65716">
        <w:rPr>
          <w:rFonts w:ascii="Times New Roman" w:hAnsi="Times New Roman"/>
          <w:sz w:val="24"/>
          <w:szCs w:val="24"/>
          <w:lang w:eastAsia="ru-RU"/>
        </w:rPr>
        <w:t>ферезом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в лечении больных ЭАА. Тезисы ХХ национального конгресса по болезням органов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дыхания</w:t>
      </w:r>
      <w:proofErr w:type="gramStart"/>
      <w:r w:rsidRPr="00B65716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B65716">
        <w:rPr>
          <w:rFonts w:ascii="Times New Roman" w:hAnsi="Times New Roman"/>
          <w:sz w:val="24"/>
          <w:szCs w:val="24"/>
          <w:lang w:eastAsia="ru-RU"/>
        </w:rPr>
        <w:t>ХХ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сборник трудов.- 2010.- С.154.</w:t>
      </w:r>
    </w:p>
    <w:p w:rsidR="00C703FE" w:rsidRPr="004538AB" w:rsidRDefault="00C703FE" w:rsidP="004538AB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538AB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4538AB">
        <w:rPr>
          <w:rFonts w:ascii="Times New Roman" w:hAnsi="Times New Roman"/>
          <w:sz w:val="24"/>
          <w:szCs w:val="24"/>
          <w:lang w:eastAsia="ru-RU"/>
        </w:rPr>
        <w:t xml:space="preserve"> Н.Н., </w:t>
      </w:r>
      <w:proofErr w:type="gramStart"/>
      <w:r w:rsidRPr="004538AB">
        <w:rPr>
          <w:rFonts w:ascii="Times New Roman" w:hAnsi="Times New Roman"/>
          <w:sz w:val="24"/>
          <w:szCs w:val="24"/>
          <w:lang w:eastAsia="ru-RU"/>
        </w:rPr>
        <w:t>Лепеха</w:t>
      </w:r>
      <w:proofErr w:type="gramEnd"/>
      <w:r w:rsidRPr="004538AB">
        <w:rPr>
          <w:rFonts w:ascii="Times New Roman" w:hAnsi="Times New Roman"/>
          <w:sz w:val="24"/>
          <w:szCs w:val="24"/>
          <w:lang w:eastAsia="ru-RU"/>
        </w:rPr>
        <w:t xml:space="preserve"> Л.Н., Шмелев Е.И. Опыт применения </w:t>
      </w:r>
      <w:proofErr w:type="spellStart"/>
      <w:r w:rsidRPr="004538AB">
        <w:rPr>
          <w:rFonts w:ascii="Times New Roman" w:hAnsi="Times New Roman"/>
          <w:sz w:val="24"/>
          <w:szCs w:val="24"/>
          <w:lang w:eastAsia="ru-RU"/>
        </w:rPr>
        <w:t>лозалвана</w:t>
      </w:r>
      <w:proofErr w:type="spellEnd"/>
      <w:r w:rsidRPr="004538AB">
        <w:rPr>
          <w:rFonts w:ascii="Times New Roman" w:hAnsi="Times New Roman"/>
          <w:sz w:val="24"/>
          <w:szCs w:val="24"/>
          <w:lang w:eastAsia="ru-RU"/>
        </w:rPr>
        <w:t xml:space="preserve"> в терапии больных ЭАА. Тезисы 20 национального конгресса по болезням органов дыхания.- М.- ХХ сб.тр.- 2010.- С. 155.</w:t>
      </w:r>
    </w:p>
    <w:p w:rsidR="00C703FE" w:rsidRPr="00B65716" w:rsidRDefault="00C703FE" w:rsidP="004538AB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Н.Н., </w:t>
      </w:r>
      <w:proofErr w:type="gramStart"/>
      <w:r w:rsidRPr="00B65716">
        <w:rPr>
          <w:rFonts w:ascii="Times New Roman" w:hAnsi="Times New Roman"/>
          <w:sz w:val="24"/>
          <w:szCs w:val="24"/>
          <w:lang w:eastAsia="ru-RU"/>
        </w:rPr>
        <w:t>Лепеха</w:t>
      </w:r>
      <w:proofErr w:type="gram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Л.Н., Шмелев Е.И. Эффективность применения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лазолвана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в комплексной терапии больных ЭАА. Тезисы конгресса «Человек и лекарство»</w:t>
      </w:r>
      <w:proofErr w:type="gramStart"/>
      <w:r w:rsidRPr="00B65716">
        <w:rPr>
          <w:rFonts w:ascii="Times New Roman" w:hAnsi="Times New Roman"/>
          <w:sz w:val="24"/>
          <w:szCs w:val="24"/>
          <w:lang w:eastAsia="ru-RU"/>
        </w:rPr>
        <w:t>,М</w:t>
      </w:r>
      <w:proofErr w:type="gramEnd"/>
      <w:r w:rsidRPr="00B65716">
        <w:rPr>
          <w:rFonts w:ascii="Times New Roman" w:hAnsi="Times New Roman"/>
          <w:sz w:val="24"/>
          <w:szCs w:val="24"/>
          <w:lang w:eastAsia="ru-RU"/>
        </w:rPr>
        <w:t>.- 2011.- С.89-90.</w:t>
      </w:r>
    </w:p>
    <w:p w:rsidR="00C703FE" w:rsidRPr="004538AB" w:rsidRDefault="00C703FE" w:rsidP="004538AB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8AB">
        <w:rPr>
          <w:rFonts w:ascii="Times New Roman" w:hAnsi="Times New Roman"/>
          <w:sz w:val="24"/>
          <w:szCs w:val="24"/>
          <w:lang w:eastAsia="ru-RU"/>
        </w:rPr>
        <w:t xml:space="preserve">Александрова Е.А., </w:t>
      </w:r>
      <w:proofErr w:type="spellStart"/>
      <w:r w:rsidRPr="004538AB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4538AB">
        <w:rPr>
          <w:rFonts w:ascii="Times New Roman" w:hAnsi="Times New Roman"/>
          <w:sz w:val="24"/>
          <w:szCs w:val="24"/>
          <w:lang w:eastAsia="ru-RU"/>
        </w:rPr>
        <w:t xml:space="preserve"> Н.Н., </w:t>
      </w:r>
      <w:proofErr w:type="gramStart"/>
      <w:r w:rsidRPr="004538AB">
        <w:rPr>
          <w:rFonts w:ascii="Times New Roman" w:hAnsi="Times New Roman"/>
          <w:sz w:val="24"/>
          <w:szCs w:val="24"/>
          <w:lang w:eastAsia="ru-RU"/>
        </w:rPr>
        <w:t>Лепеха</w:t>
      </w:r>
      <w:proofErr w:type="gramEnd"/>
      <w:r w:rsidRPr="004538AB">
        <w:rPr>
          <w:rFonts w:ascii="Times New Roman" w:hAnsi="Times New Roman"/>
          <w:sz w:val="24"/>
          <w:szCs w:val="24"/>
          <w:lang w:eastAsia="ru-RU"/>
        </w:rPr>
        <w:t xml:space="preserve"> Л.Н., Характеристика </w:t>
      </w:r>
      <w:proofErr w:type="spellStart"/>
      <w:r w:rsidRPr="004538AB">
        <w:rPr>
          <w:rFonts w:ascii="Times New Roman" w:hAnsi="Times New Roman"/>
          <w:sz w:val="24"/>
          <w:szCs w:val="24"/>
          <w:lang w:eastAsia="ru-RU"/>
        </w:rPr>
        <w:t>субпопуляций</w:t>
      </w:r>
      <w:proofErr w:type="spellEnd"/>
      <w:r w:rsidRPr="004538AB">
        <w:rPr>
          <w:rFonts w:ascii="Times New Roman" w:hAnsi="Times New Roman"/>
          <w:sz w:val="24"/>
          <w:szCs w:val="24"/>
          <w:lang w:eastAsia="ru-RU"/>
        </w:rPr>
        <w:t xml:space="preserve"> лимфоцитов периферической крови при различных вариантах ЭАА. // Сборник Российский национальный конгресс «Человек и лекарство». </w:t>
      </w:r>
      <w:proofErr w:type="gramStart"/>
      <w:r w:rsidRPr="004538AB">
        <w:rPr>
          <w:rFonts w:ascii="Times New Roman" w:hAnsi="Times New Roman"/>
          <w:sz w:val="24"/>
          <w:szCs w:val="24"/>
          <w:lang w:eastAsia="ru-RU"/>
        </w:rPr>
        <w:t>-М</w:t>
      </w:r>
      <w:proofErr w:type="gramEnd"/>
      <w:r w:rsidRPr="004538AB">
        <w:rPr>
          <w:rFonts w:ascii="Times New Roman" w:hAnsi="Times New Roman"/>
          <w:sz w:val="24"/>
          <w:szCs w:val="24"/>
          <w:lang w:eastAsia="ru-RU"/>
        </w:rPr>
        <w:t xml:space="preserve">. -2011.- С.206. </w:t>
      </w:r>
    </w:p>
    <w:p w:rsidR="00C703FE" w:rsidRPr="004538AB" w:rsidRDefault="00C703FE" w:rsidP="004538AB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538AB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4538AB">
        <w:rPr>
          <w:rFonts w:ascii="Times New Roman" w:hAnsi="Times New Roman"/>
          <w:sz w:val="24"/>
          <w:szCs w:val="24"/>
          <w:lang w:eastAsia="ru-RU"/>
        </w:rPr>
        <w:t xml:space="preserve"> Н.Н</w:t>
      </w:r>
      <w:r w:rsidRPr="004538A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4538AB">
        <w:rPr>
          <w:rFonts w:ascii="Times New Roman" w:hAnsi="Times New Roman"/>
          <w:sz w:val="24"/>
          <w:szCs w:val="24"/>
          <w:lang w:eastAsia="ru-RU"/>
        </w:rPr>
        <w:t xml:space="preserve">, Шмелев Е.И., </w:t>
      </w:r>
      <w:proofErr w:type="gramStart"/>
      <w:r w:rsidRPr="004538AB">
        <w:rPr>
          <w:rFonts w:ascii="Times New Roman" w:hAnsi="Times New Roman"/>
          <w:sz w:val="24"/>
          <w:szCs w:val="24"/>
          <w:lang w:eastAsia="ru-RU"/>
        </w:rPr>
        <w:t>Лепеха</w:t>
      </w:r>
      <w:proofErr w:type="gramEnd"/>
      <w:r w:rsidRPr="004538AB">
        <w:rPr>
          <w:rFonts w:ascii="Times New Roman" w:hAnsi="Times New Roman"/>
          <w:sz w:val="24"/>
          <w:szCs w:val="24"/>
          <w:lang w:eastAsia="ru-RU"/>
        </w:rPr>
        <w:t xml:space="preserve"> Л.Н. Особенности лечения различных вариантов экзогенного аллергического </w:t>
      </w:r>
      <w:proofErr w:type="spellStart"/>
      <w:r w:rsidRPr="004538AB">
        <w:rPr>
          <w:rFonts w:ascii="Times New Roman" w:hAnsi="Times New Roman"/>
          <w:sz w:val="24"/>
          <w:szCs w:val="24"/>
          <w:lang w:eastAsia="ru-RU"/>
        </w:rPr>
        <w:t>альвеолита</w:t>
      </w:r>
      <w:proofErr w:type="spellEnd"/>
      <w:r w:rsidRPr="004538AB">
        <w:rPr>
          <w:rFonts w:ascii="Times New Roman" w:hAnsi="Times New Roman"/>
          <w:sz w:val="24"/>
          <w:szCs w:val="24"/>
          <w:lang w:eastAsia="ru-RU"/>
        </w:rPr>
        <w:t>.// В кн.</w:t>
      </w:r>
      <w:proofErr w:type="gramStart"/>
      <w:r w:rsidRPr="004538AB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538AB">
        <w:rPr>
          <w:rFonts w:ascii="Times New Roman" w:hAnsi="Times New Roman"/>
          <w:sz w:val="24"/>
          <w:szCs w:val="24"/>
          <w:lang w:eastAsia="ru-RU"/>
        </w:rPr>
        <w:t xml:space="preserve"> ЦНИИТ РАМН Актуальные вопросы борьбы с туберкулезом.- Материалы сессии.- М.- 2011.- С.122-123.</w:t>
      </w:r>
    </w:p>
    <w:p w:rsidR="00C703FE" w:rsidRPr="004538AB" w:rsidRDefault="00C703FE" w:rsidP="004538AB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8AB">
        <w:rPr>
          <w:rFonts w:ascii="Times New Roman" w:hAnsi="Times New Roman"/>
          <w:sz w:val="24"/>
          <w:szCs w:val="24"/>
          <w:lang w:eastAsia="ru-RU"/>
        </w:rPr>
        <w:t xml:space="preserve">Александрова Е.А., Лепеха Л.Н., </w:t>
      </w:r>
      <w:proofErr w:type="spellStart"/>
      <w:r w:rsidRPr="004538AB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4538AB">
        <w:rPr>
          <w:rFonts w:ascii="Times New Roman" w:hAnsi="Times New Roman"/>
          <w:sz w:val="24"/>
          <w:szCs w:val="24"/>
          <w:lang w:eastAsia="ru-RU"/>
        </w:rPr>
        <w:t xml:space="preserve"> Н.Н. Особенности </w:t>
      </w:r>
      <w:proofErr w:type="spellStart"/>
      <w:r w:rsidRPr="004538AB">
        <w:rPr>
          <w:rFonts w:ascii="Times New Roman" w:hAnsi="Times New Roman"/>
          <w:sz w:val="24"/>
          <w:szCs w:val="24"/>
          <w:lang w:eastAsia="ru-RU"/>
        </w:rPr>
        <w:t>субпопуляционного</w:t>
      </w:r>
      <w:proofErr w:type="spellEnd"/>
      <w:r w:rsidRPr="004538AB">
        <w:rPr>
          <w:rFonts w:ascii="Times New Roman" w:hAnsi="Times New Roman"/>
          <w:sz w:val="24"/>
          <w:szCs w:val="24"/>
          <w:lang w:eastAsia="ru-RU"/>
        </w:rPr>
        <w:t xml:space="preserve"> состава лимфоцитов в крови больных </w:t>
      </w:r>
      <w:proofErr w:type="spellStart"/>
      <w:r w:rsidRPr="004538AB">
        <w:rPr>
          <w:rFonts w:ascii="Times New Roman" w:hAnsi="Times New Roman"/>
          <w:sz w:val="24"/>
          <w:szCs w:val="24"/>
          <w:lang w:eastAsia="ru-RU"/>
        </w:rPr>
        <w:t>экзоегнным</w:t>
      </w:r>
      <w:proofErr w:type="spellEnd"/>
      <w:r w:rsidRPr="004538A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538AB">
        <w:rPr>
          <w:rFonts w:ascii="Times New Roman" w:hAnsi="Times New Roman"/>
          <w:sz w:val="24"/>
          <w:szCs w:val="24"/>
          <w:lang w:eastAsia="ru-RU"/>
        </w:rPr>
        <w:t>аллергическим</w:t>
      </w:r>
      <w:proofErr w:type="gramEnd"/>
      <w:r w:rsidRPr="004538A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38AB">
        <w:rPr>
          <w:rFonts w:ascii="Times New Roman" w:hAnsi="Times New Roman"/>
          <w:sz w:val="24"/>
          <w:szCs w:val="24"/>
          <w:lang w:eastAsia="ru-RU"/>
        </w:rPr>
        <w:t>альвеолитом</w:t>
      </w:r>
      <w:proofErr w:type="spellEnd"/>
      <w:r w:rsidRPr="004538AB">
        <w:rPr>
          <w:rFonts w:ascii="Times New Roman" w:hAnsi="Times New Roman"/>
          <w:sz w:val="24"/>
          <w:szCs w:val="24"/>
          <w:lang w:eastAsia="ru-RU"/>
        </w:rPr>
        <w:t xml:space="preserve">.// В кн. </w:t>
      </w:r>
      <w:r w:rsidRPr="004538AB">
        <w:rPr>
          <w:rFonts w:ascii="Times New Roman" w:hAnsi="Times New Roman"/>
          <w:sz w:val="24"/>
          <w:szCs w:val="24"/>
          <w:lang w:eastAsia="ru-RU"/>
        </w:rPr>
        <w:lastRenderedPageBreak/>
        <w:t>ЦНИИТ РАМН Актуальные вопросы борьбы с туберкулезом.- Материалы сессии. М.- 2011.- С.27-38.</w:t>
      </w:r>
    </w:p>
    <w:p w:rsidR="00C703FE" w:rsidRPr="00B65716" w:rsidRDefault="00C703FE" w:rsidP="00F54852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Н.Н., Лепеха Л.Н.,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Сивокозов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И.В., Шмелев Е.И. Опыт применения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лазолвана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в лечении больных </w:t>
      </w:r>
      <w:proofErr w:type="gramStart"/>
      <w:r w:rsidRPr="00B65716">
        <w:rPr>
          <w:rFonts w:ascii="Times New Roman" w:hAnsi="Times New Roman"/>
          <w:sz w:val="24"/>
          <w:szCs w:val="24"/>
          <w:lang w:eastAsia="ru-RU"/>
        </w:rPr>
        <w:t>экзогенным</w:t>
      </w:r>
      <w:proofErr w:type="gram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аллергическим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альвеолитом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подострого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течения. \\ Доктор.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Ру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.- 2011.- №6 (65).- С.54-57. </w:t>
      </w:r>
    </w:p>
    <w:p w:rsidR="00C703FE" w:rsidRPr="00B65716" w:rsidRDefault="00C703FE" w:rsidP="00F54852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5716">
        <w:rPr>
          <w:rFonts w:ascii="Times New Roman" w:hAnsi="Times New Roman"/>
          <w:sz w:val="24"/>
          <w:szCs w:val="24"/>
          <w:lang w:eastAsia="ru-RU"/>
        </w:rPr>
        <w:t>Лепеха</w:t>
      </w:r>
      <w:proofErr w:type="gram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Л.Н.,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Н.Н., Карпина Н.Л., Антипова А.В.,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Ловачева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О.В.,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Садовникова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С.С.  Дифференциальная диагностика диссеминированного туберкулеза легких и экзогенного аллергического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альвеолита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(по данным морфологического исследования). \\Туберкулез и болезни легких.- 2011.- №4.- С.37.</w:t>
      </w:r>
    </w:p>
    <w:p w:rsidR="00C703FE" w:rsidRPr="00B65716" w:rsidRDefault="00C703FE" w:rsidP="00F54852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 xml:space="preserve">Антипова А.В., Филиппов В.П.,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Н.Н., </w:t>
      </w:r>
      <w:proofErr w:type="gramStart"/>
      <w:r w:rsidRPr="00B65716">
        <w:rPr>
          <w:rFonts w:ascii="Times New Roman" w:hAnsi="Times New Roman"/>
          <w:sz w:val="24"/>
          <w:szCs w:val="24"/>
          <w:lang w:eastAsia="ru-RU"/>
        </w:rPr>
        <w:t>Лепеха</w:t>
      </w:r>
      <w:proofErr w:type="gram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Л.Н.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Эндопульмональная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цитограмма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в диагностике экзогенного аллергического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альвеолита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различной природы. \\ Туберкулез и болезни легких.- 2011.- №4.- С.38.</w:t>
      </w:r>
    </w:p>
    <w:p w:rsidR="00C703FE" w:rsidRPr="00B65716" w:rsidRDefault="00C703FE" w:rsidP="00F54852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Н.Н</w:t>
      </w:r>
      <w:r w:rsidRPr="00B65716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B65716">
        <w:rPr>
          <w:rFonts w:ascii="Times New Roman" w:hAnsi="Times New Roman"/>
          <w:sz w:val="24"/>
          <w:szCs w:val="24"/>
          <w:lang w:eastAsia="ru-RU"/>
        </w:rPr>
        <w:t xml:space="preserve">, Шмелев Е.И. Использование новых схем в терапии больных </w:t>
      </w:r>
      <w:proofErr w:type="gramStart"/>
      <w:r w:rsidRPr="00B65716">
        <w:rPr>
          <w:rFonts w:ascii="Times New Roman" w:hAnsi="Times New Roman"/>
          <w:sz w:val="24"/>
          <w:szCs w:val="24"/>
          <w:lang w:eastAsia="ru-RU"/>
        </w:rPr>
        <w:t>острым</w:t>
      </w:r>
      <w:proofErr w:type="gram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подострым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и хроническими вариантами</w:t>
      </w:r>
      <w:r>
        <w:rPr>
          <w:rFonts w:ascii="Times New Roman" w:hAnsi="Times New Roman"/>
          <w:sz w:val="24"/>
          <w:szCs w:val="24"/>
          <w:lang w:eastAsia="ru-RU"/>
        </w:rPr>
        <w:t xml:space="preserve"> ЭАА.</w:t>
      </w:r>
      <w:r w:rsidRPr="00B65716">
        <w:rPr>
          <w:rFonts w:ascii="Times New Roman" w:hAnsi="Times New Roman"/>
          <w:sz w:val="24"/>
          <w:szCs w:val="24"/>
          <w:lang w:eastAsia="ru-RU"/>
        </w:rPr>
        <w:t xml:space="preserve">\\ Вестник </w:t>
      </w:r>
      <w:r w:rsidR="005767CD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5767CD">
        <w:rPr>
          <w:rFonts w:ascii="Times New Roman" w:hAnsi="Times New Roman"/>
          <w:sz w:val="24"/>
          <w:szCs w:val="24"/>
          <w:lang w:eastAsia="ru-RU"/>
        </w:rPr>
        <w:tab/>
        <w:t xml:space="preserve"> а</w:t>
      </w:r>
      <w:r w:rsidRPr="00B65716">
        <w:rPr>
          <w:rFonts w:ascii="Times New Roman" w:hAnsi="Times New Roman"/>
          <w:sz w:val="24"/>
          <w:szCs w:val="24"/>
          <w:lang w:eastAsia="ru-RU"/>
        </w:rPr>
        <w:t>кадемии</w:t>
      </w:r>
      <w:r w:rsidR="005767CD">
        <w:rPr>
          <w:rFonts w:ascii="Times New Roman" w:hAnsi="Times New Roman"/>
          <w:sz w:val="24"/>
          <w:szCs w:val="24"/>
          <w:lang w:eastAsia="ru-RU"/>
        </w:rPr>
        <w:t xml:space="preserve"> медицинских </w:t>
      </w:r>
      <w:r w:rsidRP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67CD">
        <w:rPr>
          <w:rFonts w:ascii="Times New Roman" w:hAnsi="Times New Roman"/>
          <w:sz w:val="24"/>
          <w:szCs w:val="24"/>
          <w:lang w:eastAsia="ru-RU"/>
        </w:rPr>
        <w:t>н</w:t>
      </w:r>
      <w:r w:rsidRPr="00B65716">
        <w:rPr>
          <w:rFonts w:ascii="Times New Roman" w:hAnsi="Times New Roman"/>
          <w:sz w:val="24"/>
          <w:szCs w:val="24"/>
          <w:lang w:eastAsia="ru-RU"/>
        </w:rPr>
        <w:t>аук.- 2012.- №11.- С.39-44.</w:t>
      </w:r>
    </w:p>
    <w:p w:rsidR="00C703FE" w:rsidRPr="00B65716" w:rsidRDefault="00C703FE" w:rsidP="00F54852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5716">
        <w:rPr>
          <w:rFonts w:ascii="Times New Roman" w:hAnsi="Times New Roman"/>
          <w:sz w:val="24"/>
          <w:szCs w:val="24"/>
          <w:lang w:eastAsia="ru-RU"/>
        </w:rPr>
        <w:t>Лепеха</w:t>
      </w:r>
      <w:proofErr w:type="gram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Л.Н., Александрова Е.А.,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Евгущенко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Г.В.,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Н.Н.,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Ловачева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О.В. Цитологические показатели бронхоальвеолярного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лаважа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в оценке характера течения ЭАА. \\ Вестник </w:t>
      </w:r>
      <w:r w:rsidR="005767CD">
        <w:rPr>
          <w:rFonts w:ascii="Times New Roman" w:hAnsi="Times New Roman"/>
          <w:sz w:val="24"/>
          <w:szCs w:val="24"/>
          <w:lang w:eastAsia="ru-RU"/>
        </w:rPr>
        <w:t>Российской а</w:t>
      </w:r>
      <w:r w:rsidRPr="00B65716">
        <w:rPr>
          <w:rFonts w:ascii="Times New Roman" w:hAnsi="Times New Roman"/>
          <w:sz w:val="24"/>
          <w:szCs w:val="24"/>
          <w:lang w:eastAsia="ru-RU"/>
        </w:rPr>
        <w:t>кадемии</w:t>
      </w:r>
      <w:r w:rsidR="005767CD">
        <w:rPr>
          <w:rFonts w:ascii="Times New Roman" w:hAnsi="Times New Roman"/>
          <w:sz w:val="24"/>
          <w:szCs w:val="24"/>
          <w:lang w:eastAsia="ru-RU"/>
        </w:rPr>
        <w:t xml:space="preserve"> медицинских</w:t>
      </w:r>
      <w:r w:rsidRP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67CD">
        <w:rPr>
          <w:rFonts w:ascii="Times New Roman" w:hAnsi="Times New Roman"/>
          <w:sz w:val="24"/>
          <w:szCs w:val="24"/>
          <w:lang w:eastAsia="ru-RU"/>
        </w:rPr>
        <w:t>н</w:t>
      </w:r>
      <w:r w:rsidRPr="00B65716">
        <w:rPr>
          <w:rFonts w:ascii="Times New Roman" w:hAnsi="Times New Roman"/>
          <w:sz w:val="24"/>
          <w:szCs w:val="24"/>
          <w:lang w:eastAsia="ru-RU"/>
        </w:rPr>
        <w:t>аук.- 2012.- №11.- С.34-39.</w:t>
      </w:r>
    </w:p>
    <w:p w:rsidR="00C703FE" w:rsidRPr="00B65716" w:rsidRDefault="00C703FE" w:rsidP="00F54852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Н.Н., </w:t>
      </w:r>
      <w:proofErr w:type="gramStart"/>
      <w:r w:rsidRPr="00B65716">
        <w:rPr>
          <w:rFonts w:ascii="Times New Roman" w:hAnsi="Times New Roman"/>
          <w:sz w:val="24"/>
          <w:szCs w:val="24"/>
          <w:lang w:eastAsia="ru-RU"/>
        </w:rPr>
        <w:t>Лепеха</w:t>
      </w:r>
      <w:proofErr w:type="gram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Л.Н., Шмелев Е.И. Применение ингаляционных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кортикостероиднов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в сочетании с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плазмаферезами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в лечении больных с острым вариантом течения ЭАА. \\ Доктор.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Ру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>.- 2012.- №8 (76).- С.41-44.</w:t>
      </w:r>
    </w:p>
    <w:p w:rsidR="00C703FE" w:rsidRPr="005971B4" w:rsidRDefault="00C703FE" w:rsidP="00F54852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971B4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5971B4">
        <w:rPr>
          <w:rFonts w:ascii="Times New Roman" w:hAnsi="Times New Roman"/>
          <w:sz w:val="24"/>
          <w:szCs w:val="24"/>
          <w:lang w:eastAsia="ru-RU"/>
        </w:rPr>
        <w:t xml:space="preserve"> Н.Н., Шмелев Е.И., </w:t>
      </w:r>
      <w:proofErr w:type="gramStart"/>
      <w:r w:rsidRPr="005971B4">
        <w:rPr>
          <w:rFonts w:ascii="Times New Roman" w:hAnsi="Times New Roman"/>
          <w:sz w:val="24"/>
          <w:szCs w:val="24"/>
          <w:lang w:eastAsia="ru-RU"/>
        </w:rPr>
        <w:t>Лепеха</w:t>
      </w:r>
      <w:proofErr w:type="gramEnd"/>
      <w:r w:rsidRPr="005971B4">
        <w:rPr>
          <w:rFonts w:ascii="Times New Roman" w:hAnsi="Times New Roman"/>
          <w:sz w:val="24"/>
          <w:szCs w:val="24"/>
          <w:lang w:eastAsia="ru-RU"/>
        </w:rPr>
        <w:t xml:space="preserve"> Л.Н. Применение </w:t>
      </w:r>
      <w:proofErr w:type="spellStart"/>
      <w:r w:rsidRPr="005971B4">
        <w:rPr>
          <w:rFonts w:ascii="Times New Roman" w:hAnsi="Times New Roman"/>
          <w:sz w:val="24"/>
          <w:szCs w:val="24"/>
          <w:lang w:eastAsia="ru-RU"/>
        </w:rPr>
        <w:t>лазолвана</w:t>
      </w:r>
      <w:proofErr w:type="spellEnd"/>
      <w:r w:rsidRPr="005971B4">
        <w:rPr>
          <w:rFonts w:ascii="Times New Roman" w:hAnsi="Times New Roman"/>
          <w:sz w:val="24"/>
          <w:szCs w:val="24"/>
          <w:lang w:eastAsia="ru-RU"/>
        </w:rPr>
        <w:t xml:space="preserve"> в лечении больных ЭАА </w:t>
      </w:r>
      <w:proofErr w:type="spellStart"/>
      <w:r w:rsidRPr="005971B4">
        <w:rPr>
          <w:rFonts w:ascii="Times New Roman" w:hAnsi="Times New Roman"/>
          <w:sz w:val="24"/>
          <w:szCs w:val="24"/>
          <w:lang w:eastAsia="ru-RU"/>
        </w:rPr>
        <w:t>подострого</w:t>
      </w:r>
      <w:proofErr w:type="spellEnd"/>
      <w:r w:rsidRPr="005971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71B4">
        <w:rPr>
          <w:rFonts w:ascii="Times New Roman" w:hAnsi="Times New Roman"/>
          <w:sz w:val="24"/>
          <w:szCs w:val="24"/>
          <w:lang w:eastAsia="ru-RU"/>
        </w:rPr>
        <w:t>течения.\\</w:t>
      </w:r>
      <w:proofErr w:type="spellEnd"/>
      <w:r w:rsidRPr="005971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71B4">
        <w:rPr>
          <w:rFonts w:ascii="Times New Roman" w:hAnsi="Times New Roman"/>
          <w:sz w:val="24"/>
          <w:szCs w:val="24"/>
          <w:lang w:eastAsia="ru-RU"/>
        </w:rPr>
        <w:t>Consilium</w:t>
      </w:r>
      <w:proofErr w:type="spellEnd"/>
      <w:r w:rsidRPr="005971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71B4">
        <w:rPr>
          <w:rFonts w:ascii="Times New Roman" w:hAnsi="Times New Roman"/>
          <w:sz w:val="24"/>
          <w:szCs w:val="24"/>
          <w:lang w:eastAsia="ru-RU"/>
        </w:rPr>
        <w:t>medicum</w:t>
      </w:r>
      <w:proofErr w:type="spellEnd"/>
      <w:r w:rsidRPr="005971B4">
        <w:rPr>
          <w:rFonts w:ascii="Times New Roman" w:hAnsi="Times New Roman"/>
          <w:sz w:val="24"/>
          <w:szCs w:val="24"/>
          <w:lang w:eastAsia="ru-RU"/>
        </w:rPr>
        <w:t xml:space="preserve">.- 2012.- №3.- том 14.- С.60-63. </w:t>
      </w:r>
    </w:p>
    <w:p w:rsidR="00C703FE" w:rsidRPr="00B65716" w:rsidRDefault="00C703FE" w:rsidP="00F54852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65716">
        <w:rPr>
          <w:rFonts w:ascii="Times New Roman" w:hAnsi="Times New Roman"/>
          <w:sz w:val="24"/>
          <w:szCs w:val="24"/>
          <w:lang w:eastAsia="ru-RU"/>
        </w:rPr>
        <w:t>Лепеха</w:t>
      </w:r>
      <w:proofErr w:type="gram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Л.Н., Бурцева С.А.,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Н.Н. Морфологическая диагностика диссеминированного туберкулеза и ЭАА. \\ Актуальные вопросы военной фтизиатрии. Сборник научных трудов. Пушкино.- 2012.</w:t>
      </w:r>
      <w:r w:rsidRPr="00E9317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65716">
        <w:rPr>
          <w:rFonts w:ascii="Times New Roman" w:hAnsi="Times New Roman"/>
          <w:sz w:val="24"/>
          <w:szCs w:val="24"/>
          <w:lang w:eastAsia="ru-RU"/>
        </w:rPr>
        <w:t>Том 1.</w:t>
      </w:r>
      <w:r>
        <w:rPr>
          <w:rFonts w:ascii="Times New Roman" w:hAnsi="Times New Roman"/>
          <w:sz w:val="24"/>
          <w:szCs w:val="24"/>
          <w:lang w:eastAsia="ru-RU"/>
        </w:rPr>
        <w:t>- С.118-120.</w:t>
      </w:r>
    </w:p>
    <w:p w:rsidR="00C703FE" w:rsidRPr="00B65716" w:rsidRDefault="00C703FE" w:rsidP="00F54852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65716">
        <w:rPr>
          <w:rFonts w:ascii="Times New Roman" w:hAnsi="Times New Roman"/>
          <w:sz w:val="24"/>
          <w:szCs w:val="24"/>
          <w:lang w:eastAsia="ru-RU"/>
        </w:rPr>
        <w:t>Лепеха</w:t>
      </w:r>
      <w:proofErr w:type="gram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Л.Н.,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Н.Н. Использование активаторов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суфактанта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в комплексном лечении больных ЭАА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подострого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течения. \\ Актуальные вопросы военной фтизиатрии</w:t>
      </w:r>
      <w:proofErr w:type="gramStart"/>
      <w:r w:rsidRPr="00B65716">
        <w:rPr>
          <w:rFonts w:ascii="Times New Roman" w:hAnsi="Times New Roman"/>
          <w:sz w:val="24"/>
          <w:szCs w:val="24"/>
          <w:lang w:eastAsia="ru-RU"/>
        </w:rPr>
        <w:t xml:space="preserve">..- </w:t>
      </w:r>
      <w:proofErr w:type="gramEnd"/>
      <w:r w:rsidRPr="00B65716">
        <w:rPr>
          <w:rFonts w:ascii="Times New Roman" w:hAnsi="Times New Roman"/>
          <w:sz w:val="24"/>
          <w:szCs w:val="24"/>
          <w:lang w:eastAsia="ru-RU"/>
        </w:rPr>
        <w:t>Пушкино.- 2012.- Том 3.- С.45-50.</w:t>
      </w:r>
    </w:p>
    <w:p w:rsidR="00C703FE" w:rsidRPr="00BD6C72" w:rsidRDefault="00C703FE" w:rsidP="00F54852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538A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538AB">
        <w:rPr>
          <w:rFonts w:ascii="Times New Roman" w:hAnsi="Times New Roman"/>
          <w:sz w:val="24"/>
          <w:szCs w:val="24"/>
          <w:lang w:val="en-US" w:eastAsia="ru-RU"/>
        </w:rPr>
        <w:t>Makaryants</w:t>
      </w:r>
      <w:proofErr w:type="spellEnd"/>
      <w:r w:rsidRPr="004538AB">
        <w:rPr>
          <w:rFonts w:ascii="Times New Roman" w:hAnsi="Times New Roman"/>
          <w:sz w:val="24"/>
          <w:szCs w:val="24"/>
          <w:lang w:val="en-US" w:eastAsia="ru-RU"/>
        </w:rPr>
        <w:t xml:space="preserve"> N., </w:t>
      </w:r>
      <w:proofErr w:type="spellStart"/>
      <w:r w:rsidRPr="004538AB">
        <w:rPr>
          <w:rFonts w:ascii="Times New Roman" w:hAnsi="Times New Roman"/>
          <w:sz w:val="24"/>
          <w:szCs w:val="24"/>
          <w:lang w:val="en-US" w:eastAsia="ru-RU"/>
        </w:rPr>
        <w:t>Lepekha</w:t>
      </w:r>
      <w:proofErr w:type="spellEnd"/>
      <w:r w:rsidRPr="004538AB">
        <w:rPr>
          <w:rFonts w:ascii="Times New Roman" w:hAnsi="Times New Roman"/>
          <w:sz w:val="24"/>
          <w:szCs w:val="24"/>
          <w:lang w:val="en-US" w:eastAsia="ru-RU"/>
        </w:rPr>
        <w:t xml:space="preserve"> L., </w:t>
      </w:r>
      <w:proofErr w:type="spellStart"/>
      <w:r w:rsidRPr="004538AB">
        <w:rPr>
          <w:rFonts w:ascii="Times New Roman" w:hAnsi="Times New Roman"/>
          <w:sz w:val="24"/>
          <w:szCs w:val="24"/>
          <w:lang w:val="en-US" w:eastAsia="ru-RU"/>
        </w:rPr>
        <w:t>Shmelev</w:t>
      </w:r>
      <w:proofErr w:type="spellEnd"/>
      <w:r w:rsidRPr="004538AB">
        <w:rPr>
          <w:rFonts w:ascii="Times New Roman" w:hAnsi="Times New Roman"/>
          <w:sz w:val="24"/>
          <w:szCs w:val="24"/>
          <w:lang w:val="en-US" w:eastAsia="ru-RU"/>
        </w:rPr>
        <w:t xml:space="preserve"> E. Inhalation of high doses of ICS in patients with acute extrinsic allergic </w:t>
      </w:r>
      <w:proofErr w:type="spellStart"/>
      <w:r w:rsidRPr="004538AB">
        <w:rPr>
          <w:rFonts w:ascii="Times New Roman" w:hAnsi="Times New Roman"/>
          <w:sz w:val="24"/>
          <w:szCs w:val="24"/>
          <w:lang w:val="en-US" w:eastAsia="ru-RU"/>
        </w:rPr>
        <w:t>alveolitis</w:t>
      </w:r>
      <w:proofErr w:type="spellEnd"/>
      <w:r w:rsidRPr="004538AB">
        <w:rPr>
          <w:rFonts w:ascii="Times New Roman" w:hAnsi="Times New Roman"/>
          <w:sz w:val="24"/>
          <w:szCs w:val="24"/>
          <w:lang w:val="en-US" w:eastAsia="ru-RU"/>
        </w:rPr>
        <w:t xml:space="preserve">. //Eur. </w:t>
      </w:r>
      <w:proofErr w:type="spellStart"/>
      <w:r w:rsidRPr="004538AB">
        <w:rPr>
          <w:rFonts w:ascii="Times New Roman" w:hAnsi="Times New Roman"/>
          <w:sz w:val="24"/>
          <w:szCs w:val="24"/>
          <w:lang w:val="en-US" w:eastAsia="ru-RU"/>
        </w:rPr>
        <w:t>Respir</w:t>
      </w:r>
      <w:proofErr w:type="spellEnd"/>
      <w:r w:rsidRPr="004538AB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proofErr w:type="gramStart"/>
      <w:r w:rsidRPr="004538AB">
        <w:rPr>
          <w:rFonts w:ascii="Times New Roman" w:hAnsi="Times New Roman"/>
          <w:sz w:val="24"/>
          <w:szCs w:val="24"/>
          <w:lang w:val="en-US" w:eastAsia="ru-RU"/>
        </w:rPr>
        <w:t>J.-</w:t>
      </w:r>
      <w:proofErr w:type="gramEnd"/>
      <w:r w:rsidRPr="004538AB">
        <w:rPr>
          <w:rFonts w:ascii="Times New Roman" w:hAnsi="Times New Roman"/>
          <w:sz w:val="24"/>
          <w:szCs w:val="24"/>
          <w:lang w:val="en-US" w:eastAsia="ru-RU"/>
        </w:rPr>
        <w:t xml:space="preserve"> 2012.- 40: Supp 16.-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538AB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BD6C72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4538AB">
        <w:rPr>
          <w:rFonts w:ascii="Times New Roman" w:hAnsi="Times New Roman"/>
          <w:sz w:val="24"/>
          <w:szCs w:val="24"/>
          <w:lang w:val="en-US" w:eastAsia="ru-RU"/>
        </w:rPr>
        <w:t xml:space="preserve"> 51.</w:t>
      </w:r>
    </w:p>
    <w:p w:rsidR="00C703FE" w:rsidRPr="004538AB" w:rsidRDefault="00C703FE" w:rsidP="00F54852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D6C7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D6C72">
        <w:rPr>
          <w:rFonts w:ascii="Times New Roman" w:hAnsi="Times New Roman"/>
          <w:sz w:val="24"/>
          <w:szCs w:val="24"/>
          <w:lang w:val="en-US" w:eastAsia="ru-RU"/>
        </w:rPr>
        <w:t>Sivokozov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Lovacheva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O., </w:t>
      </w:r>
      <w:proofErr w:type="spellStart"/>
      <w:r w:rsidRPr="00BD6C72">
        <w:rPr>
          <w:rFonts w:ascii="Times New Roman" w:hAnsi="Times New Roman"/>
          <w:sz w:val="24"/>
          <w:szCs w:val="24"/>
          <w:lang w:val="en-US" w:eastAsia="ru-RU"/>
        </w:rPr>
        <w:t>Shmelev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E., </w:t>
      </w:r>
      <w:proofErr w:type="spellStart"/>
      <w:r w:rsidRPr="00BD6C72">
        <w:rPr>
          <w:rFonts w:ascii="Times New Roman" w:hAnsi="Times New Roman"/>
          <w:sz w:val="24"/>
          <w:szCs w:val="24"/>
          <w:lang w:val="en-US" w:eastAsia="ru-RU"/>
        </w:rPr>
        <w:t>Makaryants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N.</w:t>
      </w:r>
      <w:r w:rsidRPr="00BD6C72">
        <w:rPr>
          <w:rFonts w:ascii="Times New Roman" w:hAnsi="Times New Roman"/>
          <w:sz w:val="24"/>
          <w:szCs w:val="24"/>
          <w:lang w:val="en-US" w:eastAsia="ru-RU"/>
        </w:rPr>
        <w:t xml:space="preserve">  - Impact of diagnostic pitfalls on the management of pulmo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nary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sarcoidosis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//</w:t>
      </w:r>
      <w:r w:rsidRPr="00BD6C7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D6C72">
        <w:rPr>
          <w:rFonts w:ascii="Times New Roman" w:hAnsi="Times New Roman"/>
          <w:sz w:val="24"/>
          <w:szCs w:val="24"/>
          <w:lang w:val="en-US" w:eastAsia="ru-RU"/>
        </w:rPr>
        <w:t>Eur</w:t>
      </w:r>
      <w:proofErr w:type="spellEnd"/>
      <w:r w:rsidRPr="00BD6C7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D6C72">
        <w:rPr>
          <w:rFonts w:ascii="Times New Roman" w:hAnsi="Times New Roman"/>
          <w:sz w:val="24"/>
          <w:szCs w:val="24"/>
          <w:lang w:val="en-US" w:eastAsia="ru-RU"/>
        </w:rPr>
        <w:t>Respir</w:t>
      </w:r>
      <w:proofErr w:type="spellEnd"/>
      <w:r w:rsidRPr="00BD6C72">
        <w:rPr>
          <w:rFonts w:ascii="Times New Roman" w:hAnsi="Times New Roman"/>
          <w:sz w:val="24"/>
          <w:szCs w:val="24"/>
          <w:lang w:val="en-US" w:eastAsia="ru-RU"/>
        </w:rPr>
        <w:t xml:space="preserve"> J</w:t>
      </w: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.-</w:t>
      </w:r>
      <w:proofErr w:type="gramEnd"/>
      <w:r>
        <w:rPr>
          <w:rFonts w:ascii="Times New Roman" w:hAnsi="Times New Roman"/>
          <w:sz w:val="24"/>
          <w:szCs w:val="24"/>
          <w:lang w:val="en-US" w:eastAsia="ru-RU"/>
        </w:rPr>
        <w:t xml:space="preserve"> 2012.- </w:t>
      </w:r>
      <w:r w:rsidRPr="00BD6C72">
        <w:rPr>
          <w:rFonts w:ascii="Times New Roman" w:hAnsi="Times New Roman"/>
          <w:sz w:val="24"/>
          <w:szCs w:val="24"/>
          <w:lang w:val="en-US" w:eastAsia="ru-RU"/>
        </w:rPr>
        <w:t xml:space="preserve">40: Suppl. </w:t>
      </w:r>
      <w:r>
        <w:rPr>
          <w:rFonts w:ascii="Times New Roman" w:hAnsi="Times New Roman"/>
          <w:sz w:val="24"/>
          <w:szCs w:val="24"/>
          <w:lang w:val="en-US" w:eastAsia="ru-RU"/>
        </w:rPr>
        <w:t>16.- P.-</w:t>
      </w:r>
      <w:r w:rsidRPr="00BD6C72">
        <w:rPr>
          <w:rFonts w:ascii="Times New Roman" w:hAnsi="Times New Roman"/>
          <w:sz w:val="24"/>
          <w:szCs w:val="24"/>
          <w:lang w:val="en-US" w:eastAsia="ru-RU"/>
        </w:rPr>
        <w:t xml:space="preserve"> 115</w:t>
      </w:r>
      <w:r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C703FE" w:rsidRPr="00BD6C72" w:rsidRDefault="00C703FE" w:rsidP="00F54852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65716">
        <w:rPr>
          <w:rFonts w:ascii="Times New Roman" w:hAnsi="Times New Roman"/>
          <w:sz w:val="24"/>
          <w:szCs w:val="24"/>
          <w:lang w:val="en-US" w:eastAsia="ru-RU"/>
        </w:rPr>
        <w:t>Makaryants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N., </w:t>
      </w:r>
      <w:proofErr w:type="spellStart"/>
      <w:r w:rsidRPr="00B65716">
        <w:rPr>
          <w:rFonts w:ascii="Times New Roman" w:hAnsi="Times New Roman"/>
          <w:sz w:val="24"/>
          <w:szCs w:val="24"/>
          <w:lang w:val="en-US" w:eastAsia="ru-RU"/>
        </w:rPr>
        <w:t>Lepekha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L., </w:t>
      </w:r>
      <w:proofErr w:type="spellStart"/>
      <w:r w:rsidRPr="00B65716">
        <w:rPr>
          <w:rFonts w:ascii="Times New Roman" w:hAnsi="Times New Roman"/>
          <w:sz w:val="24"/>
          <w:szCs w:val="24"/>
          <w:lang w:val="en-US" w:eastAsia="ru-RU"/>
        </w:rPr>
        <w:t>Shmelev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E., </w:t>
      </w:r>
      <w:proofErr w:type="spellStart"/>
      <w:r w:rsidRPr="00B65716">
        <w:rPr>
          <w:rFonts w:ascii="Times New Roman" w:hAnsi="Times New Roman"/>
          <w:sz w:val="24"/>
          <w:szCs w:val="24"/>
          <w:lang w:val="en-US" w:eastAsia="ru-RU"/>
        </w:rPr>
        <w:t>Sivokozov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I</w:t>
      </w:r>
      <w:r w:rsidRPr="00B65716">
        <w:rPr>
          <w:rFonts w:ascii="Times New Roman" w:hAnsi="Times New Roman"/>
          <w:sz w:val="24"/>
          <w:szCs w:val="24"/>
          <w:lang w:val="en-US" w:eastAsia="ru-RU"/>
        </w:rPr>
        <w:t xml:space="preserve">. Administration of </w:t>
      </w:r>
      <w:proofErr w:type="spellStart"/>
      <w:r w:rsidRPr="00B65716">
        <w:rPr>
          <w:rFonts w:ascii="Times New Roman" w:hAnsi="Times New Roman"/>
          <w:sz w:val="24"/>
          <w:szCs w:val="24"/>
          <w:lang w:val="en-US" w:eastAsia="ru-RU"/>
        </w:rPr>
        <w:t>lasolvan</w:t>
      </w:r>
      <w:proofErr w:type="spellEnd"/>
      <w:r w:rsidRPr="00B65716">
        <w:rPr>
          <w:rFonts w:ascii="Times New Roman" w:hAnsi="Times New Roman"/>
          <w:sz w:val="24"/>
          <w:szCs w:val="24"/>
          <w:lang w:val="en-US" w:eastAsia="ru-RU"/>
        </w:rPr>
        <w:t xml:space="preserve"> in the treatment for </w:t>
      </w:r>
      <w:proofErr w:type="spellStart"/>
      <w:r w:rsidRPr="00B65716">
        <w:rPr>
          <w:rFonts w:ascii="Times New Roman" w:hAnsi="Times New Roman"/>
          <w:sz w:val="24"/>
          <w:szCs w:val="24"/>
          <w:lang w:val="en-US" w:eastAsia="ru-RU"/>
        </w:rPr>
        <w:t>exogenic</w:t>
      </w:r>
      <w:proofErr w:type="spellEnd"/>
      <w:r w:rsidRPr="00B65716">
        <w:rPr>
          <w:rFonts w:ascii="Times New Roman" w:hAnsi="Times New Roman"/>
          <w:sz w:val="24"/>
          <w:szCs w:val="24"/>
          <w:lang w:val="en-US" w:eastAsia="ru-RU"/>
        </w:rPr>
        <w:t xml:space="preserve"> allergic </w:t>
      </w:r>
      <w:proofErr w:type="spellStart"/>
      <w:r w:rsidRPr="00B65716">
        <w:rPr>
          <w:rFonts w:ascii="Times New Roman" w:hAnsi="Times New Roman"/>
          <w:sz w:val="24"/>
          <w:szCs w:val="24"/>
          <w:lang w:val="en-US" w:eastAsia="ru-RU"/>
        </w:rPr>
        <w:t>alveolitis</w:t>
      </w:r>
      <w:proofErr w:type="spellEnd"/>
      <w:r w:rsidRPr="00B65716">
        <w:rPr>
          <w:rFonts w:ascii="Times New Roman" w:hAnsi="Times New Roman"/>
          <w:sz w:val="24"/>
          <w:szCs w:val="24"/>
          <w:lang w:val="en-US" w:eastAsia="ru-RU"/>
        </w:rPr>
        <w:t xml:space="preserve">. // Eur. </w:t>
      </w:r>
      <w:proofErr w:type="spellStart"/>
      <w:r w:rsidRPr="00B65716">
        <w:rPr>
          <w:rFonts w:ascii="Times New Roman" w:hAnsi="Times New Roman"/>
          <w:sz w:val="24"/>
          <w:szCs w:val="24"/>
          <w:lang w:val="en-US" w:eastAsia="ru-RU"/>
        </w:rPr>
        <w:t>Respir</w:t>
      </w:r>
      <w:proofErr w:type="spellEnd"/>
      <w:r w:rsidRPr="00BD6C72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B65716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BD6C72">
        <w:rPr>
          <w:rFonts w:ascii="Times New Roman" w:hAnsi="Times New Roman"/>
          <w:sz w:val="24"/>
          <w:szCs w:val="24"/>
          <w:lang w:val="en-US" w:eastAsia="ru-RU"/>
        </w:rPr>
        <w:t xml:space="preserve">.- 2012.- 40: </w:t>
      </w:r>
      <w:r w:rsidRPr="00B65716">
        <w:rPr>
          <w:rFonts w:ascii="Times New Roman" w:hAnsi="Times New Roman"/>
          <w:sz w:val="24"/>
          <w:szCs w:val="24"/>
          <w:lang w:val="en-US" w:eastAsia="ru-RU"/>
        </w:rPr>
        <w:t>Supp</w:t>
      </w:r>
      <w:r w:rsidRPr="00BD6C72">
        <w:rPr>
          <w:rFonts w:ascii="Times New Roman" w:hAnsi="Times New Roman"/>
          <w:sz w:val="24"/>
          <w:szCs w:val="24"/>
          <w:lang w:val="en-US" w:eastAsia="ru-RU"/>
        </w:rPr>
        <w:t xml:space="preserve"> 16.- </w:t>
      </w:r>
      <w:r w:rsidRPr="00B65716">
        <w:rPr>
          <w:rFonts w:ascii="Times New Roman" w:hAnsi="Times New Roman"/>
          <w:sz w:val="24"/>
          <w:szCs w:val="24"/>
          <w:lang w:eastAsia="ru-RU"/>
        </w:rPr>
        <w:t>Р</w:t>
      </w:r>
      <w:r w:rsidRPr="00BD6C72">
        <w:rPr>
          <w:rFonts w:ascii="Times New Roman" w:hAnsi="Times New Roman"/>
          <w:sz w:val="24"/>
          <w:szCs w:val="24"/>
          <w:lang w:val="en-US" w:eastAsia="ru-RU"/>
        </w:rPr>
        <w:t>.-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BD6C72">
        <w:rPr>
          <w:rFonts w:ascii="Times New Roman" w:hAnsi="Times New Roman"/>
          <w:sz w:val="24"/>
          <w:szCs w:val="24"/>
          <w:lang w:val="en-US" w:eastAsia="ru-RU"/>
        </w:rPr>
        <w:t>49</w:t>
      </w:r>
    </w:p>
    <w:p w:rsidR="00C703FE" w:rsidRPr="00B65716" w:rsidRDefault="00C703FE" w:rsidP="00F54852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0B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Н.Н., Шмелев Е.И., </w:t>
      </w:r>
      <w:proofErr w:type="gramStart"/>
      <w:r w:rsidRPr="00B65716">
        <w:rPr>
          <w:rFonts w:ascii="Times New Roman" w:hAnsi="Times New Roman"/>
          <w:sz w:val="24"/>
          <w:szCs w:val="24"/>
          <w:lang w:eastAsia="ru-RU"/>
        </w:rPr>
        <w:t>Лепеха</w:t>
      </w:r>
      <w:proofErr w:type="gram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Л.Н. Опыт применения новых схем лечения больных с различными вариантами ЭАА. \\ Очерки клинической пульмонологии. Избранные труды под ред. Шмелева Е.И. Изд. «Атмосфера».- М.-2012.- С.94-103.</w:t>
      </w:r>
    </w:p>
    <w:p w:rsidR="00C703FE" w:rsidRDefault="00C703FE" w:rsidP="00F54852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Н.Н.,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ЛепехаЛ.Н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., Шмелев Е.И.,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Евгущенко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Г.В.,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Амансахетов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Р.Б. Дифференциальная диагностика и лечение  различных вариантов экзогенного аллергического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альвеолита</w:t>
      </w:r>
      <w:proofErr w:type="spellEnd"/>
      <w:proofErr w:type="gramStart"/>
      <w:r w:rsidRPr="00B65716">
        <w:rPr>
          <w:rFonts w:ascii="Times New Roman" w:hAnsi="Times New Roman"/>
          <w:sz w:val="24"/>
          <w:szCs w:val="24"/>
          <w:lang w:eastAsia="ru-RU"/>
        </w:rPr>
        <w:t xml:space="preserve">..// </w:t>
      </w:r>
      <w:proofErr w:type="gram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Врач.- 2013- №2.- </w:t>
      </w:r>
      <w:r w:rsidRPr="00B65716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B65716">
        <w:rPr>
          <w:rFonts w:ascii="Times New Roman" w:hAnsi="Times New Roman"/>
          <w:sz w:val="24"/>
          <w:szCs w:val="24"/>
          <w:lang w:eastAsia="ru-RU"/>
        </w:rPr>
        <w:t>.7-12.</w:t>
      </w:r>
    </w:p>
    <w:p w:rsidR="00C703FE" w:rsidRDefault="00C703FE" w:rsidP="004538AB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971B4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5971B4">
        <w:rPr>
          <w:rFonts w:ascii="Times New Roman" w:hAnsi="Times New Roman"/>
          <w:sz w:val="24"/>
          <w:szCs w:val="24"/>
          <w:lang w:eastAsia="ru-RU"/>
        </w:rPr>
        <w:t xml:space="preserve"> Н.Н.</w:t>
      </w:r>
      <w:r w:rsidRPr="005971B4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5971B4">
        <w:rPr>
          <w:rFonts w:ascii="Times New Roman" w:hAnsi="Times New Roman"/>
          <w:sz w:val="24"/>
          <w:szCs w:val="24"/>
          <w:lang w:eastAsia="ru-RU"/>
        </w:rPr>
        <w:t xml:space="preserve"> Шмелев Е.И., </w:t>
      </w:r>
      <w:proofErr w:type="gramStart"/>
      <w:r w:rsidRPr="005971B4">
        <w:rPr>
          <w:rFonts w:ascii="Times New Roman" w:hAnsi="Times New Roman"/>
          <w:sz w:val="24"/>
          <w:szCs w:val="24"/>
          <w:lang w:eastAsia="ru-RU"/>
        </w:rPr>
        <w:t>Лепеха</w:t>
      </w:r>
      <w:proofErr w:type="gramEnd"/>
      <w:r w:rsidRPr="005971B4">
        <w:rPr>
          <w:rFonts w:ascii="Times New Roman" w:hAnsi="Times New Roman"/>
          <w:sz w:val="24"/>
          <w:szCs w:val="24"/>
          <w:lang w:eastAsia="ru-RU"/>
        </w:rPr>
        <w:t xml:space="preserve"> Л.Н. Применение новы</w:t>
      </w:r>
      <w:r>
        <w:rPr>
          <w:rFonts w:ascii="Times New Roman" w:hAnsi="Times New Roman"/>
          <w:sz w:val="24"/>
          <w:szCs w:val="24"/>
          <w:lang w:eastAsia="ru-RU"/>
        </w:rPr>
        <w:t>х схем в лечении больных ЭАА. //</w:t>
      </w:r>
      <w:r w:rsidRPr="005971B4">
        <w:rPr>
          <w:rFonts w:ascii="Times New Roman" w:hAnsi="Times New Roman"/>
          <w:sz w:val="24"/>
          <w:szCs w:val="24"/>
          <w:lang w:eastAsia="ru-RU"/>
        </w:rPr>
        <w:t xml:space="preserve"> Медицинский совет.-</w:t>
      </w:r>
      <w:r>
        <w:rPr>
          <w:rFonts w:ascii="Times New Roman" w:hAnsi="Times New Roman"/>
          <w:sz w:val="24"/>
          <w:szCs w:val="24"/>
          <w:lang w:eastAsia="ru-RU"/>
        </w:rPr>
        <w:t xml:space="preserve"> 2013.-№1.-С.8-14</w:t>
      </w:r>
      <w:r w:rsidRPr="005971B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703FE" w:rsidRDefault="00C703FE" w:rsidP="00F54852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1A2E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2D1A2E">
        <w:rPr>
          <w:rFonts w:ascii="Times New Roman" w:hAnsi="Times New Roman"/>
          <w:sz w:val="24"/>
          <w:szCs w:val="24"/>
          <w:lang w:eastAsia="ru-RU"/>
        </w:rPr>
        <w:t xml:space="preserve"> Н.Н., </w:t>
      </w:r>
      <w:proofErr w:type="spellStart"/>
      <w:r w:rsidRPr="002D1A2E">
        <w:rPr>
          <w:rFonts w:ascii="Times New Roman" w:hAnsi="Times New Roman"/>
          <w:sz w:val="24"/>
          <w:szCs w:val="24"/>
          <w:lang w:eastAsia="ru-RU"/>
        </w:rPr>
        <w:t>Демьяненко</w:t>
      </w:r>
      <w:proofErr w:type="spellEnd"/>
      <w:r w:rsidRPr="002D1A2E">
        <w:rPr>
          <w:rFonts w:ascii="Times New Roman" w:hAnsi="Times New Roman"/>
          <w:sz w:val="24"/>
          <w:szCs w:val="24"/>
          <w:lang w:eastAsia="ru-RU"/>
        </w:rPr>
        <w:t xml:space="preserve"> Н.Г., </w:t>
      </w:r>
      <w:proofErr w:type="gramStart"/>
      <w:r w:rsidRPr="002D1A2E">
        <w:rPr>
          <w:rFonts w:ascii="Times New Roman" w:hAnsi="Times New Roman"/>
          <w:sz w:val="24"/>
          <w:szCs w:val="24"/>
          <w:lang w:eastAsia="ru-RU"/>
        </w:rPr>
        <w:t>Лепеха</w:t>
      </w:r>
      <w:proofErr w:type="gramEnd"/>
      <w:r w:rsidRPr="002D1A2E">
        <w:rPr>
          <w:rFonts w:ascii="Times New Roman" w:hAnsi="Times New Roman"/>
          <w:sz w:val="24"/>
          <w:szCs w:val="24"/>
          <w:lang w:eastAsia="ru-RU"/>
        </w:rPr>
        <w:t xml:space="preserve"> Л.Н Клинический случай рецидивирующего варианта экзогенного аллергического </w:t>
      </w:r>
      <w:proofErr w:type="spellStart"/>
      <w:r w:rsidRPr="002D1A2E">
        <w:rPr>
          <w:rFonts w:ascii="Times New Roman" w:hAnsi="Times New Roman"/>
          <w:sz w:val="24"/>
          <w:szCs w:val="24"/>
          <w:lang w:eastAsia="ru-RU"/>
        </w:rPr>
        <w:t>альвеолита</w:t>
      </w:r>
      <w:proofErr w:type="spellEnd"/>
      <w:r w:rsidRPr="002D1A2E">
        <w:rPr>
          <w:rFonts w:ascii="Times New Roman" w:hAnsi="Times New Roman"/>
          <w:sz w:val="24"/>
          <w:szCs w:val="24"/>
          <w:lang w:eastAsia="ru-RU"/>
        </w:rPr>
        <w:t>.//Эффективная фармакотерапия.-10/2013.- Пульмонология и отолярингология.-№1.-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2D1A2E">
        <w:rPr>
          <w:rFonts w:ascii="Times New Roman" w:hAnsi="Times New Roman"/>
          <w:sz w:val="24"/>
          <w:szCs w:val="24"/>
          <w:lang w:eastAsia="ru-RU"/>
        </w:rPr>
        <w:t xml:space="preserve">С.43-46.  </w:t>
      </w:r>
    </w:p>
    <w:p w:rsidR="00C703FE" w:rsidRDefault="00C703FE" w:rsidP="00F54852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A2E">
        <w:rPr>
          <w:rFonts w:ascii="Times New Roman" w:hAnsi="Times New Roman"/>
          <w:sz w:val="24"/>
          <w:szCs w:val="24"/>
          <w:lang w:eastAsia="ru-RU"/>
        </w:rPr>
        <w:t xml:space="preserve">Нефедов В.Б., Попова Л.А., Шергина Е.А., </w:t>
      </w:r>
      <w:proofErr w:type="spellStart"/>
      <w:r w:rsidRPr="002D1A2E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2D1A2E">
        <w:rPr>
          <w:rFonts w:ascii="Times New Roman" w:hAnsi="Times New Roman"/>
          <w:sz w:val="24"/>
          <w:szCs w:val="24"/>
          <w:lang w:eastAsia="ru-RU"/>
        </w:rPr>
        <w:t xml:space="preserve"> Н.Н</w:t>
      </w:r>
      <w:r w:rsidRPr="002D1A2E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2D1A2E">
        <w:rPr>
          <w:rFonts w:ascii="Times New Roman" w:hAnsi="Times New Roman"/>
          <w:sz w:val="24"/>
          <w:szCs w:val="24"/>
          <w:lang w:eastAsia="ru-RU"/>
        </w:rPr>
        <w:t xml:space="preserve"> Нарушение функции легких при различных вариантах течения экзогенного аллергического </w:t>
      </w:r>
      <w:proofErr w:type="spellStart"/>
      <w:r w:rsidRPr="002D1A2E">
        <w:rPr>
          <w:rFonts w:ascii="Times New Roman" w:hAnsi="Times New Roman"/>
          <w:sz w:val="24"/>
          <w:szCs w:val="24"/>
          <w:lang w:eastAsia="ru-RU"/>
        </w:rPr>
        <w:t>альвеолита</w:t>
      </w:r>
      <w:proofErr w:type="spellEnd"/>
      <w:r w:rsidRPr="002D1A2E">
        <w:rPr>
          <w:rFonts w:ascii="Times New Roman" w:hAnsi="Times New Roman"/>
          <w:sz w:val="24"/>
          <w:szCs w:val="24"/>
          <w:lang w:eastAsia="ru-RU"/>
        </w:rPr>
        <w:t>. // Туберкулез и болезни легких.- 2012. -</w:t>
      </w:r>
      <w:r>
        <w:rPr>
          <w:rFonts w:ascii="Times New Roman" w:hAnsi="Times New Roman"/>
          <w:sz w:val="24"/>
          <w:szCs w:val="24"/>
          <w:lang w:eastAsia="ru-RU"/>
        </w:rPr>
        <w:t xml:space="preserve"> №5</w:t>
      </w:r>
      <w:r w:rsidRPr="002D1A2E">
        <w:rPr>
          <w:rFonts w:ascii="Times New Roman" w:hAnsi="Times New Roman"/>
          <w:sz w:val="24"/>
          <w:szCs w:val="24"/>
          <w:lang w:eastAsia="ru-RU"/>
        </w:rPr>
        <w:t>.</w:t>
      </w:r>
    </w:p>
    <w:p w:rsidR="00C703FE" w:rsidRDefault="00C703FE" w:rsidP="00F54852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 xml:space="preserve">Нефедов В.Б., Попова Л.А., Шергина Е.А.,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 Н.Н</w:t>
      </w:r>
      <w:r w:rsidRPr="00B65716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B65716">
        <w:rPr>
          <w:rFonts w:ascii="Times New Roman" w:hAnsi="Times New Roman"/>
          <w:sz w:val="24"/>
          <w:szCs w:val="24"/>
          <w:lang w:eastAsia="ru-RU"/>
        </w:rPr>
        <w:t xml:space="preserve"> Нарушение функции легких при трех вариантах экзогенного аллергического </w:t>
      </w:r>
      <w:proofErr w:type="spellStart"/>
      <w:r w:rsidRPr="00B65716">
        <w:rPr>
          <w:rFonts w:ascii="Times New Roman" w:hAnsi="Times New Roman"/>
          <w:sz w:val="24"/>
          <w:szCs w:val="24"/>
          <w:lang w:eastAsia="ru-RU"/>
        </w:rPr>
        <w:t>альвеолита</w:t>
      </w:r>
      <w:proofErr w:type="spellEnd"/>
      <w:r w:rsidRPr="00B65716">
        <w:rPr>
          <w:rFonts w:ascii="Times New Roman" w:hAnsi="Times New Roman"/>
          <w:sz w:val="24"/>
          <w:szCs w:val="24"/>
          <w:lang w:eastAsia="ru-RU"/>
        </w:rPr>
        <w:t xml:space="preserve">.// Функциональная диагностика.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– 2012. - </w:t>
      </w:r>
      <w:r w:rsidRPr="00B65716">
        <w:rPr>
          <w:rFonts w:ascii="Times New Roman" w:hAnsi="Times New Roman"/>
          <w:sz w:val="24"/>
          <w:szCs w:val="24"/>
          <w:lang w:eastAsia="ru-RU"/>
        </w:rPr>
        <w:t>Принято к печати.</w:t>
      </w:r>
    </w:p>
    <w:p w:rsidR="00C703FE" w:rsidRPr="00B65716" w:rsidRDefault="00C703FE" w:rsidP="00F54852">
      <w:pPr>
        <w:pStyle w:val="a4"/>
        <w:numPr>
          <w:ilvl w:val="0"/>
          <w:numId w:val="13"/>
        </w:numPr>
        <w:spacing w:line="360" w:lineRule="auto"/>
        <w:ind w:left="0" w:right="-1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Макарьянц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Н.Н., Лепеха Л.Н., Никитин С.С. Анализ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гетерогенности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лимфоцитов периферической крови больных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экзогенным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аллергическим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альвеолитом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 помощью проточной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цитофлюориметрии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.// Юбилейный сборник к 50-летию отдела иммунологии ЦНИИТ РАМН.-2013.- Принято к печати.</w:t>
      </w:r>
    </w:p>
    <w:p w:rsidR="00C703FE" w:rsidRPr="008510A2" w:rsidRDefault="00C703FE" w:rsidP="00B65716">
      <w:pPr>
        <w:tabs>
          <w:tab w:val="center" w:pos="5109"/>
          <w:tab w:val="left" w:pos="8440"/>
        </w:tabs>
        <w:ind w:left="0" w:right="-13" w:firstLine="567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E2FAF">
        <w:rPr>
          <w:rFonts w:ascii="Times New Roman" w:hAnsi="Times New Roman"/>
          <w:b/>
          <w:sz w:val="28"/>
          <w:szCs w:val="28"/>
          <w:lang w:eastAsia="ru-RU"/>
        </w:rPr>
        <w:t>Список</w:t>
      </w:r>
      <w:r w:rsidRPr="008510A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E2FAF">
        <w:rPr>
          <w:rFonts w:ascii="Times New Roman" w:hAnsi="Times New Roman"/>
          <w:b/>
          <w:sz w:val="28"/>
          <w:szCs w:val="28"/>
          <w:lang w:eastAsia="ru-RU"/>
        </w:rPr>
        <w:t>сокращений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C703FE" w:rsidRPr="008510A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0A2">
        <w:rPr>
          <w:rFonts w:ascii="Times New Roman" w:hAnsi="Times New Roman"/>
          <w:sz w:val="24"/>
          <w:szCs w:val="24"/>
          <w:lang w:eastAsia="ru-RU"/>
        </w:rPr>
        <w:t>АК – альвеолярный компонент</w:t>
      </w:r>
    </w:p>
    <w:p w:rsidR="00C703FE" w:rsidRPr="008510A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0A2">
        <w:rPr>
          <w:rFonts w:ascii="Times New Roman" w:hAnsi="Times New Roman"/>
          <w:sz w:val="24"/>
          <w:szCs w:val="24"/>
          <w:lang w:eastAsia="ru-RU"/>
        </w:rPr>
        <w:t>А</w:t>
      </w:r>
      <w:proofErr w:type="gramStart"/>
      <w:r w:rsidRPr="008510A2">
        <w:rPr>
          <w:rFonts w:ascii="Times New Roman" w:hAnsi="Times New Roman"/>
          <w:sz w:val="24"/>
          <w:szCs w:val="24"/>
          <w:lang w:eastAsia="ru-RU"/>
        </w:rPr>
        <w:t>М-</w:t>
      </w:r>
      <w:proofErr w:type="gramEnd"/>
      <w:r w:rsidRPr="008510A2">
        <w:rPr>
          <w:rFonts w:ascii="Times New Roman" w:hAnsi="Times New Roman"/>
          <w:sz w:val="24"/>
          <w:szCs w:val="24"/>
          <w:lang w:eastAsia="ru-RU"/>
        </w:rPr>
        <w:t xml:space="preserve"> альвеолярные макрофаги</w:t>
      </w:r>
    </w:p>
    <w:p w:rsidR="00C703FE" w:rsidRPr="008510A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510A2">
        <w:rPr>
          <w:rFonts w:ascii="Times New Roman" w:hAnsi="Times New Roman"/>
          <w:sz w:val="24"/>
          <w:szCs w:val="24"/>
          <w:lang w:eastAsia="ru-RU"/>
        </w:rPr>
        <w:t>Ац</w:t>
      </w:r>
      <w:proofErr w:type="spellEnd"/>
      <w:r w:rsidRPr="008510A2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8510A2">
        <w:rPr>
          <w:rFonts w:ascii="Times New Roman" w:hAnsi="Times New Roman"/>
          <w:sz w:val="24"/>
          <w:szCs w:val="24"/>
          <w:lang w:eastAsia="ru-RU"/>
        </w:rPr>
        <w:t>альвеолоциты</w:t>
      </w:r>
      <w:proofErr w:type="spellEnd"/>
    </w:p>
    <w:p w:rsidR="00C703FE" w:rsidRPr="008510A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0A2">
        <w:rPr>
          <w:rFonts w:ascii="Times New Roman" w:hAnsi="Times New Roman"/>
          <w:sz w:val="24"/>
          <w:szCs w:val="24"/>
          <w:lang w:eastAsia="ru-RU"/>
        </w:rPr>
        <w:t>БА</w:t>
      </w:r>
      <w:proofErr w:type="gramStart"/>
      <w:r w:rsidRPr="008510A2">
        <w:rPr>
          <w:rFonts w:ascii="Times New Roman" w:hAnsi="Times New Roman"/>
          <w:sz w:val="24"/>
          <w:szCs w:val="24"/>
          <w:lang w:eastAsia="ru-RU"/>
        </w:rPr>
        <w:t>Л-</w:t>
      </w:r>
      <w:proofErr w:type="gramEnd"/>
      <w:r w:rsidRPr="008510A2">
        <w:rPr>
          <w:rFonts w:ascii="Times New Roman" w:hAnsi="Times New Roman"/>
          <w:sz w:val="24"/>
          <w:szCs w:val="24"/>
          <w:lang w:eastAsia="ru-RU"/>
        </w:rPr>
        <w:t xml:space="preserve"> бронхоальвеолярный </w:t>
      </w:r>
      <w:proofErr w:type="spellStart"/>
      <w:r w:rsidRPr="008510A2">
        <w:rPr>
          <w:rFonts w:ascii="Times New Roman" w:hAnsi="Times New Roman"/>
          <w:sz w:val="24"/>
          <w:szCs w:val="24"/>
          <w:lang w:eastAsia="ru-RU"/>
        </w:rPr>
        <w:t>лаваж</w:t>
      </w:r>
      <w:proofErr w:type="spellEnd"/>
    </w:p>
    <w:p w:rsidR="00C703FE" w:rsidRPr="008510A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0A2">
        <w:rPr>
          <w:rFonts w:ascii="Times New Roman" w:hAnsi="Times New Roman"/>
          <w:sz w:val="24"/>
          <w:szCs w:val="24"/>
          <w:lang w:eastAsia="ru-RU"/>
        </w:rPr>
        <w:t xml:space="preserve">ГКС – </w:t>
      </w:r>
      <w:proofErr w:type="spellStart"/>
      <w:r w:rsidRPr="008510A2">
        <w:rPr>
          <w:rFonts w:ascii="Times New Roman" w:hAnsi="Times New Roman"/>
          <w:sz w:val="24"/>
          <w:szCs w:val="24"/>
          <w:lang w:eastAsia="ru-RU"/>
        </w:rPr>
        <w:t>гюкокортикостероиды</w:t>
      </w:r>
      <w:proofErr w:type="spellEnd"/>
    </w:p>
    <w:p w:rsidR="00C703FE" w:rsidRPr="008510A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510A2">
        <w:rPr>
          <w:rFonts w:ascii="Times New Roman" w:hAnsi="Times New Roman"/>
          <w:sz w:val="24"/>
          <w:szCs w:val="24"/>
          <w:lang w:eastAsia="ru-RU"/>
        </w:rPr>
        <w:t>Гц</w:t>
      </w:r>
      <w:proofErr w:type="gramEnd"/>
      <w:r w:rsidRPr="008510A2">
        <w:rPr>
          <w:rFonts w:ascii="Times New Roman" w:hAnsi="Times New Roman"/>
          <w:sz w:val="24"/>
          <w:szCs w:val="24"/>
          <w:lang w:eastAsia="ru-RU"/>
        </w:rPr>
        <w:t xml:space="preserve"> – гистиоциты</w:t>
      </w:r>
    </w:p>
    <w:p w:rsidR="00C703FE" w:rsidRPr="008510A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0A2">
        <w:rPr>
          <w:rFonts w:ascii="Times New Roman" w:hAnsi="Times New Roman"/>
          <w:sz w:val="24"/>
          <w:szCs w:val="24"/>
          <w:lang w:eastAsia="ru-RU"/>
        </w:rPr>
        <w:t>ДНК – дезоксирибонуклеиновая кислота</w:t>
      </w:r>
    </w:p>
    <w:p w:rsidR="00C703FE" w:rsidRPr="008510A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0A2">
        <w:rPr>
          <w:rFonts w:ascii="Times New Roman" w:hAnsi="Times New Roman"/>
          <w:sz w:val="24"/>
          <w:szCs w:val="24"/>
          <w:lang w:eastAsia="ru-RU"/>
        </w:rPr>
        <w:t>ЖЕЛ – жизненная емкость легких</w:t>
      </w:r>
    </w:p>
    <w:p w:rsidR="00C703FE" w:rsidRPr="008510A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0A2">
        <w:rPr>
          <w:rFonts w:ascii="Times New Roman" w:hAnsi="Times New Roman"/>
          <w:sz w:val="24"/>
          <w:szCs w:val="24"/>
          <w:lang w:eastAsia="ru-RU"/>
        </w:rPr>
        <w:t xml:space="preserve">ЖКТ – </w:t>
      </w:r>
      <w:proofErr w:type="spellStart"/>
      <w:r w:rsidRPr="008510A2">
        <w:rPr>
          <w:rFonts w:ascii="Times New Roman" w:hAnsi="Times New Roman"/>
          <w:sz w:val="24"/>
          <w:szCs w:val="24"/>
          <w:lang w:eastAsia="ru-RU"/>
        </w:rPr>
        <w:t>желудочнокишечный</w:t>
      </w:r>
      <w:proofErr w:type="spellEnd"/>
      <w:r w:rsidRPr="008510A2">
        <w:rPr>
          <w:rFonts w:ascii="Times New Roman" w:hAnsi="Times New Roman"/>
          <w:sz w:val="24"/>
          <w:szCs w:val="24"/>
          <w:lang w:eastAsia="ru-RU"/>
        </w:rPr>
        <w:t xml:space="preserve"> тракт</w:t>
      </w:r>
    </w:p>
    <w:p w:rsidR="00C703FE" w:rsidRPr="008510A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0A2">
        <w:rPr>
          <w:rFonts w:ascii="Times New Roman" w:hAnsi="Times New Roman"/>
          <w:sz w:val="24"/>
          <w:szCs w:val="24"/>
          <w:lang w:eastAsia="ru-RU"/>
        </w:rPr>
        <w:t>ИК – интерстициальный компонент</w:t>
      </w:r>
    </w:p>
    <w:p w:rsidR="00C703FE" w:rsidRPr="008510A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0A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ИГКС – ингаляционные </w:t>
      </w:r>
      <w:proofErr w:type="spellStart"/>
      <w:r w:rsidRPr="008510A2">
        <w:rPr>
          <w:rFonts w:ascii="Times New Roman" w:hAnsi="Times New Roman"/>
          <w:sz w:val="24"/>
          <w:szCs w:val="24"/>
          <w:lang w:eastAsia="ru-RU"/>
        </w:rPr>
        <w:t>глюкокортикостероиды</w:t>
      </w:r>
      <w:proofErr w:type="spellEnd"/>
    </w:p>
    <w:p w:rsidR="00C703FE" w:rsidRPr="008510A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0A2">
        <w:rPr>
          <w:rFonts w:ascii="Times New Roman" w:hAnsi="Times New Roman"/>
          <w:sz w:val="24"/>
          <w:szCs w:val="24"/>
          <w:lang w:eastAsia="ru-RU"/>
        </w:rPr>
        <w:t>КИ – кумулятивный индекс</w:t>
      </w:r>
    </w:p>
    <w:p w:rsidR="00C703FE" w:rsidRPr="008510A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0A2">
        <w:rPr>
          <w:rFonts w:ascii="Times New Roman" w:hAnsi="Times New Roman"/>
          <w:sz w:val="24"/>
          <w:szCs w:val="24"/>
          <w:lang w:eastAsia="ru-RU"/>
        </w:rPr>
        <w:t>КТВР – компьютерная томография высокого разрешения</w:t>
      </w:r>
    </w:p>
    <w:p w:rsidR="00C703FE" w:rsidRPr="002E450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502">
        <w:rPr>
          <w:rFonts w:ascii="Times New Roman" w:hAnsi="Times New Roman"/>
          <w:sz w:val="24"/>
          <w:szCs w:val="24"/>
          <w:lang w:eastAsia="ru-RU"/>
        </w:rPr>
        <w:t>МСВ  (75,50,25)– максимальные скорости форсированного выдоха при выдохе 25, 50 и 75%</w:t>
      </w:r>
    </w:p>
    <w:p w:rsidR="00C703FE" w:rsidRPr="002E450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E4502">
        <w:rPr>
          <w:rFonts w:ascii="Times New Roman" w:hAnsi="Times New Roman"/>
          <w:sz w:val="24"/>
          <w:szCs w:val="24"/>
          <w:lang w:eastAsia="ru-RU"/>
        </w:rPr>
        <w:t>НК-клетки</w:t>
      </w:r>
      <w:proofErr w:type="spellEnd"/>
      <w:r w:rsidRPr="002E4502">
        <w:rPr>
          <w:rFonts w:ascii="Times New Roman" w:hAnsi="Times New Roman"/>
          <w:sz w:val="24"/>
          <w:szCs w:val="24"/>
          <w:lang w:eastAsia="ru-RU"/>
        </w:rPr>
        <w:t xml:space="preserve"> – натуральные </w:t>
      </w:r>
      <w:proofErr w:type="gramStart"/>
      <w:r w:rsidRPr="002E4502">
        <w:rPr>
          <w:rFonts w:ascii="Times New Roman" w:hAnsi="Times New Roman"/>
          <w:sz w:val="24"/>
          <w:szCs w:val="24"/>
          <w:lang w:eastAsia="ru-RU"/>
        </w:rPr>
        <w:t>киллеры</w:t>
      </w:r>
      <w:proofErr w:type="gramEnd"/>
    </w:p>
    <w:p w:rsidR="00C703FE" w:rsidRPr="002E450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502">
        <w:rPr>
          <w:rFonts w:ascii="Times New Roman" w:hAnsi="Times New Roman"/>
          <w:sz w:val="24"/>
          <w:szCs w:val="24"/>
          <w:lang w:eastAsia="ru-RU"/>
        </w:rPr>
        <w:t>МФ – макрофагальная формула (БАЛ)</w:t>
      </w:r>
    </w:p>
    <w:p w:rsidR="00C703FE" w:rsidRPr="002E450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502">
        <w:rPr>
          <w:rFonts w:ascii="Times New Roman" w:hAnsi="Times New Roman"/>
          <w:sz w:val="24"/>
          <w:szCs w:val="24"/>
          <w:lang w:eastAsia="ru-RU"/>
        </w:rPr>
        <w:t>ОФВ</w:t>
      </w:r>
      <w:proofErr w:type="gramStart"/>
      <w:r w:rsidRPr="002E4502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2E4502">
        <w:rPr>
          <w:rFonts w:ascii="Times New Roman" w:hAnsi="Times New Roman"/>
          <w:sz w:val="24"/>
          <w:szCs w:val="24"/>
          <w:lang w:eastAsia="ru-RU"/>
        </w:rPr>
        <w:t xml:space="preserve"> – объем форсированного выдоха за 1 секунду</w:t>
      </w:r>
    </w:p>
    <w:p w:rsidR="00C703FE" w:rsidRPr="002E450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502">
        <w:rPr>
          <w:rFonts w:ascii="Times New Roman" w:hAnsi="Times New Roman"/>
          <w:sz w:val="24"/>
          <w:szCs w:val="24"/>
          <w:lang w:eastAsia="ru-RU"/>
        </w:rPr>
        <w:t xml:space="preserve">ПЦР – </w:t>
      </w:r>
      <w:proofErr w:type="spellStart"/>
      <w:r w:rsidRPr="002E4502">
        <w:rPr>
          <w:rFonts w:ascii="Times New Roman" w:hAnsi="Times New Roman"/>
          <w:sz w:val="24"/>
          <w:szCs w:val="24"/>
          <w:lang w:eastAsia="ru-RU"/>
        </w:rPr>
        <w:t>полимеразно-цепная</w:t>
      </w:r>
      <w:proofErr w:type="spellEnd"/>
      <w:r w:rsidRPr="002E4502">
        <w:rPr>
          <w:rFonts w:ascii="Times New Roman" w:hAnsi="Times New Roman"/>
          <w:sz w:val="24"/>
          <w:szCs w:val="24"/>
          <w:lang w:eastAsia="ru-RU"/>
        </w:rPr>
        <w:t xml:space="preserve"> реакция</w:t>
      </w:r>
    </w:p>
    <w:p w:rsidR="00C703FE" w:rsidRPr="002E450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502">
        <w:rPr>
          <w:rFonts w:ascii="Times New Roman" w:hAnsi="Times New Roman"/>
          <w:sz w:val="24"/>
          <w:szCs w:val="24"/>
          <w:lang w:eastAsia="ru-RU"/>
        </w:rPr>
        <w:t>СОЭ – скорость оседания эритроцитов</w:t>
      </w:r>
    </w:p>
    <w:p w:rsidR="00C703FE" w:rsidRPr="002E450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502">
        <w:rPr>
          <w:rFonts w:ascii="Times New Roman" w:hAnsi="Times New Roman"/>
          <w:sz w:val="24"/>
          <w:szCs w:val="24"/>
          <w:lang w:eastAsia="ru-RU"/>
        </w:rPr>
        <w:t>ЧБ</w:t>
      </w:r>
      <w:proofErr w:type="gramStart"/>
      <w:r w:rsidRPr="002E4502">
        <w:rPr>
          <w:rFonts w:ascii="Times New Roman" w:hAnsi="Times New Roman"/>
          <w:sz w:val="24"/>
          <w:szCs w:val="24"/>
          <w:lang w:eastAsia="ru-RU"/>
        </w:rPr>
        <w:t>Л-</w:t>
      </w:r>
      <w:proofErr w:type="gramEnd"/>
      <w:r w:rsidRPr="002E45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E4502">
        <w:rPr>
          <w:rFonts w:ascii="Times New Roman" w:hAnsi="Times New Roman"/>
          <w:sz w:val="24"/>
          <w:szCs w:val="24"/>
          <w:lang w:eastAsia="ru-RU"/>
        </w:rPr>
        <w:t>чрезбронхиальная</w:t>
      </w:r>
      <w:proofErr w:type="spellEnd"/>
      <w:r w:rsidRPr="002E4502">
        <w:rPr>
          <w:rFonts w:ascii="Times New Roman" w:hAnsi="Times New Roman"/>
          <w:sz w:val="24"/>
          <w:szCs w:val="24"/>
          <w:lang w:eastAsia="ru-RU"/>
        </w:rPr>
        <w:t xml:space="preserve"> биопсия легких</w:t>
      </w:r>
    </w:p>
    <w:p w:rsidR="00C703FE" w:rsidRPr="002E450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502">
        <w:rPr>
          <w:rFonts w:ascii="Times New Roman" w:hAnsi="Times New Roman"/>
          <w:sz w:val="24"/>
          <w:szCs w:val="24"/>
          <w:lang w:eastAsia="ru-RU"/>
        </w:rPr>
        <w:t>РаО</w:t>
      </w:r>
      <w:proofErr w:type="gramStart"/>
      <w:r w:rsidRPr="002E4502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Pr="002E4502">
        <w:rPr>
          <w:rFonts w:ascii="Times New Roman" w:hAnsi="Times New Roman"/>
          <w:sz w:val="24"/>
          <w:szCs w:val="24"/>
          <w:lang w:eastAsia="ru-RU"/>
        </w:rPr>
        <w:t xml:space="preserve"> – парциальной давление кислорода</w:t>
      </w:r>
    </w:p>
    <w:p w:rsidR="00C703FE" w:rsidRPr="002E450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502">
        <w:rPr>
          <w:rFonts w:ascii="Times New Roman" w:hAnsi="Times New Roman"/>
          <w:sz w:val="24"/>
          <w:szCs w:val="24"/>
          <w:lang w:eastAsia="ru-RU"/>
        </w:rPr>
        <w:t xml:space="preserve">ЭАА – экзогенный аллергический </w:t>
      </w:r>
      <w:proofErr w:type="spellStart"/>
      <w:r w:rsidRPr="002E4502">
        <w:rPr>
          <w:rFonts w:ascii="Times New Roman" w:hAnsi="Times New Roman"/>
          <w:sz w:val="24"/>
          <w:szCs w:val="24"/>
          <w:lang w:eastAsia="ru-RU"/>
        </w:rPr>
        <w:t>альвеолит</w:t>
      </w:r>
      <w:proofErr w:type="spellEnd"/>
    </w:p>
    <w:p w:rsidR="00C703FE" w:rsidRPr="002E450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502">
        <w:rPr>
          <w:rFonts w:ascii="Times New Roman" w:hAnsi="Times New Roman"/>
          <w:sz w:val="24"/>
          <w:szCs w:val="24"/>
          <w:lang w:eastAsia="ru-RU"/>
        </w:rPr>
        <w:t>ЦИ</w:t>
      </w:r>
      <w:proofErr w:type="gramStart"/>
      <w:r w:rsidRPr="002E4502">
        <w:rPr>
          <w:rFonts w:ascii="Times New Roman" w:hAnsi="Times New Roman"/>
          <w:sz w:val="24"/>
          <w:szCs w:val="24"/>
          <w:lang w:eastAsia="ru-RU"/>
        </w:rPr>
        <w:t>К-</w:t>
      </w:r>
      <w:proofErr w:type="gramEnd"/>
      <w:r w:rsidRPr="002E4502">
        <w:rPr>
          <w:rFonts w:ascii="Times New Roman" w:hAnsi="Times New Roman"/>
          <w:sz w:val="24"/>
          <w:szCs w:val="24"/>
          <w:lang w:eastAsia="ru-RU"/>
        </w:rPr>
        <w:t xml:space="preserve">  циркулирующие иммунные комплексы</w:t>
      </w:r>
    </w:p>
    <w:p w:rsidR="00C703FE" w:rsidRPr="002E450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E4502">
        <w:rPr>
          <w:rFonts w:ascii="Times New Roman" w:hAnsi="Times New Roman"/>
          <w:sz w:val="24"/>
          <w:szCs w:val="24"/>
          <w:lang w:eastAsia="ru-RU"/>
        </w:rPr>
        <w:t>Тх</w:t>
      </w:r>
      <w:proofErr w:type="spellEnd"/>
      <w:r w:rsidRPr="002E450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65716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2E4502">
        <w:rPr>
          <w:rFonts w:ascii="Times New Roman" w:hAnsi="Times New Roman"/>
          <w:sz w:val="24"/>
          <w:szCs w:val="24"/>
          <w:lang w:eastAsia="ru-RU"/>
        </w:rPr>
        <w:t xml:space="preserve">4) – Т-хелперы </w:t>
      </w:r>
    </w:p>
    <w:p w:rsidR="00C703FE" w:rsidRPr="002E450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502">
        <w:rPr>
          <w:rFonts w:ascii="Times New Roman" w:hAnsi="Times New Roman"/>
          <w:sz w:val="24"/>
          <w:szCs w:val="24"/>
          <w:lang w:eastAsia="ru-RU"/>
        </w:rPr>
        <w:t>Тс (</w:t>
      </w:r>
      <w:r w:rsidRPr="00B65716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2E4502">
        <w:rPr>
          <w:rFonts w:ascii="Times New Roman" w:hAnsi="Times New Roman"/>
          <w:sz w:val="24"/>
          <w:szCs w:val="24"/>
          <w:lang w:eastAsia="ru-RU"/>
        </w:rPr>
        <w:t xml:space="preserve">8) – </w:t>
      </w:r>
      <w:proofErr w:type="spellStart"/>
      <w:r w:rsidRPr="002E4502">
        <w:rPr>
          <w:rFonts w:ascii="Times New Roman" w:hAnsi="Times New Roman"/>
          <w:sz w:val="24"/>
          <w:szCs w:val="24"/>
          <w:lang w:eastAsia="ru-RU"/>
        </w:rPr>
        <w:t>Т-супрессоры</w:t>
      </w:r>
      <w:proofErr w:type="spellEnd"/>
    </w:p>
    <w:p w:rsidR="00C703FE" w:rsidRPr="002E450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502">
        <w:rPr>
          <w:rFonts w:ascii="Times New Roman" w:hAnsi="Times New Roman"/>
          <w:sz w:val="24"/>
          <w:szCs w:val="24"/>
          <w:lang w:eastAsia="ru-RU"/>
        </w:rPr>
        <w:t xml:space="preserve">ТЭМ – </w:t>
      </w:r>
      <w:proofErr w:type="spellStart"/>
      <w:r w:rsidRPr="002E4502">
        <w:rPr>
          <w:rFonts w:ascii="Times New Roman" w:hAnsi="Times New Roman"/>
          <w:sz w:val="24"/>
          <w:szCs w:val="24"/>
          <w:lang w:eastAsia="ru-RU"/>
        </w:rPr>
        <w:t>трансмиссионно-электронная</w:t>
      </w:r>
      <w:proofErr w:type="spellEnd"/>
      <w:r w:rsidRPr="002E4502">
        <w:rPr>
          <w:rFonts w:ascii="Times New Roman" w:hAnsi="Times New Roman"/>
          <w:sz w:val="24"/>
          <w:szCs w:val="24"/>
          <w:lang w:eastAsia="ru-RU"/>
        </w:rPr>
        <w:t xml:space="preserve"> микроскопия</w:t>
      </w:r>
    </w:p>
    <w:p w:rsidR="00C703FE" w:rsidRPr="002E450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val="en-US" w:eastAsia="ru-RU"/>
        </w:rPr>
        <w:t>DLCO</w:t>
      </w:r>
      <w:r w:rsidRPr="002E4502">
        <w:rPr>
          <w:rFonts w:ascii="Times New Roman" w:hAnsi="Times New Roman"/>
          <w:sz w:val="24"/>
          <w:szCs w:val="24"/>
          <w:lang w:eastAsia="ru-RU"/>
        </w:rPr>
        <w:t xml:space="preserve"> – диффузионная способность легких</w:t>
      </w:r>
    </w:p>
    <w:p w:rsidR="00C703FE" w:rsidRPr="002E4502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val="en-US" w:eastAsia="ru-RU"/>
        </w:rPr>
        <w:t>DLCO</w:t>
      </w:r>
      <w:r w:rsidRPr="002E4502">
        <w:rPr>
          <w:rFonts w:ascii="Times New Roman" w:hAnsi="Times New Roman"/>
          <w:sz w:val="24"/>
          <w:szCs w:val="24"/>
          <w:lang w:eastAsia="ru-RU"/>
        </w:rPr>
        <w:t>/</w:t>
      </w:r>
      <w:r w:rsidRPr="00B65716">
        <w:rPr>
          <w:rFonts w:ascii="Times New Roman" w:hAnsi="Times New Roman"/>
          <w:sz w:val="24"/>
          <w:szCs w:val="24"/>
          <w:lang w:val="en-US" w:eastAsia="ru-RU"/>
        </w:rPr>
        <w:t>VA</w:t>
      </w:r>
      <w:r w:rsidRPr="002E4502">
        <w:rPr>
          <w:rFonts w:ascii="Times New Roman" w:hAnsi="Times New Roman"/>
          <w:sz w:val="24"/>
          <w:szCs w:val="24"/>
          <w:lang w:eastAsia="ru-RU"/>
        </w:rPr>
        <w:t xml:space="preserve"> – коэффициент диффузии</w:t>
      </w:r>
    </w:p>
    <w:p w:rsidR="00C703FE" w:rsidRPr="00A510B3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65716">
        <w:rPr>
          <w:rFonts w:ascii="Times New Roman" w:hAnsi="Times New Roman"/>
          <w:sz w:val="24"/>
          <w:szCs w:val="24"/>
          <w:lang w:val="en-US" w:eastAsia="ru-RU"/>
        </w:rPr>
        <w:t>Ig</w:t>
      </w:r>
      <w:proofErr w:type="spellEnd"/>
      <w:r w:rsidRPr="00A510B3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AB5856">
        <w:rPr>
          <w:rFonts w:ascii="Times New Roman" w:hAnsi="Times New Roman"/>
          <w:sz w:val="24"/>
          <w:szCs w:val="24"/>
          <w:lang w:eastAsia="ru-RU"/>
        </w:rPr>
        <w:t>иммуноглобулины</w:t>
      </w:r>
    </w:p>
    <w:p w:rsidR="00C703FE" w:rsidRPr="00B65716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65716">
        <w:rPr>
          <w:rFonts w:ascii="Times New Roman" w:hAnsi="Times New Roman"/>
          <w:sz w:val="24"/>
          <w:szCs w:val="24"/>
          <w:lang w:val="en-US" w:eastAsia="ru-RU"/>
        </w:rPr>
        <w:t xml:space="preserve">NAC – </w:t>
      </w:r>
      <w:proofErr w:type="spellStart"/>
      <w:r w:rsidRPr="00B65716">
        <w:rPr>
          <w:rFonts w:ascii="Times New Roman" w:hAnsi="Times New Roman"/>
          <w:sz w:val="24"/>
          <w:szCs w:val="24"/>
          <w:lang w:val="en-US" w:eastAsia="ru-RU"/>
        </w:rPr>
        <w:t>ацетилцистеин</w:t>
      </w:r>
      <w:proofErr w:type="spellEnd"/>
    </w:p>
    <w:p w:rsidR="00C703FE" w:rsidRPr="00B65716" w:rsidRDefault="00C703FE" w:rsidP="009F3E90">
      <w:pPr>
        <w:spacing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65716">
        <w:rPr>
          <w:rFonts w:ascii="Times New Roman" w:hAnsi="Times New Roman"/>
          <w:sz w:val="24"/>
          <w:szCs w:val="24"/>
          <w:lang w:val="en-US" w:eastAsia="ru-RU"/>
        </w:rPr>
        <w:t xml:space="preserve">MRS - Medical </w:t>
      </w:r>
      <w:proofErr w:type="spellStart"/>
      <w:r w:rsidRPr="00B65716">
        <w:rPr>
          <w:rFonts w:ascii="Times New Roman" w:hAnsi="Times New Roman"/>
          <w:sz w:val="24"/>
          <w:szCs w:val="24"/>
          <w:lang w:val="en-US" w:eastAsia="ru-RU"/>
        </w:rPr>
        <w:t>Reserarch</w:t>
      </w:r>
      <w:proofErr w:type="spellEnd"/>
      <w:r w:rsidRPr="00B65716">
        <w:rPr>
          <w:rFonts w:ascii="Times New Roman" w:hAnsi="Times New Roman"/>
          <w:sz w:val="24"/>
          <w:szCs w:val="24"/>
          <w:lang w:val="en-US" w:eastAsia="ru-RU"/>
        </w:rPr>
        <w:t xml:space="preserve"> Council Grading System  </w:t>
      </w:r>
    </w:p>
    <w:p w:rsidR="00C703FE" w:rsidRPr="00B65716" w:rsidRDefault="00C703FE" w:rsidP="00B65716">
      <w:pPr>
        <w:spacing w:line="276" w:lineRule="auto"/>
        <w:ind w:left="0" w:right="-13"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C703FE" w:rsidRPr="002E4502" w:rsidRDefault="00C703FE" w:rsidP="0061577B">
      <w:pPr>
        <w:ind w:right="-24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</w:p>
    <w:sectPr w:rsidR="00C703FE" w:rsidRPr="002E4502" w:rsidSect="009F3E90">
      <w:headerReference w:type="default" r:id="rId16"/>
      <w:pgSz w:w="11906" w:h="16838"/>
      <w:pgMar w:top="851" w:right="707" w:bottom="851" w:left="1560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FE" w:rsidRDefault="00C703FE" w:rsidP="00854815">
      <w:pPr>
        <w:spacing w:before="0" w:line="240" w:lineRule="auto"/>
      </w:pPr>
      <w:r>
        <w:separator/>
      </w:r>
    </w:p>
  </w:endnote>
  <w:endnote w:type="continuationSeparator" w:id="0">
    <w:p w:rsidR="00C703FE" w:rsidRDefault="00C703FE" w:rsidP="008548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Kaiti Std R Cyr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FE" w:rsidRDefault="00C703FE" w:rsidP="00854815">
      <w:pPr>
        <w:spacing w:before="0" w:line="240" w:lineRule="auto"/>
      </w:pPr>
      <w:r>
        <w:separator/>
      </w:r>
    </w:p>
  </w:footnote>
  <w:footnote w:type="continuationSeparator" w:id="0">
    <w:p w:rsidR="00C703FE" w:rsidRDefault="00C703FE" w:rsidP="0085481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FE" w:rsidRDefault="00C703FE" w:rsidP="00854815">
    <w:pPr>
      <w:pStyle w:val="a9"/>
      <w:pBdr>
        <w:bottom w:val="single" w:sz="4" w:space="1" w:color="D9D9D9"/>
      </w:pBdr>
      <w:ind w:right="0"/>
      <w:jc w:val="right"/>
      <w:rPr>
        <w:b/>
      </w:rPr>
    </w:pPr>
    <w:r>
      <w:rPr>
        <w:color w:val="7F7F7F"/>
        <w:spacing w:val="60"/>
      </w:rPr>
      <w:t>Страница</w:t>
    </w:r>
    <w:r>
      <w:t xml:space="preserve"> | </w:t>
    </w:r>
    <w:fldSimple w:instr=" PAGE   \* MERGEFORMAT ">
      <w:r w:rsidR="005767CD" w:rsidRPr="005767CD">
        <w:rPr>
          <w:b/>
          <w:noProof/>
        </w:rPr>
        <w:t>31</w:t>
      </w:r>
    </w:fldSimple>
  </w:p>
  <w:p w:rsidR="00C703FE" w:rsidRDefault="00C703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E9"/>
    <w:multiLevelType w:val="hybridMultilevel"/>
    <w:tmpl w:val="ECF06CFE"/>
    <w:lvl w:ilvl="0" w:tplc="E15638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03075"/>
    <w:multiLevelType w:val="hybridMultilevel"/>
    <w:tmpl w:val="498262EA"/>
    <w:lvl w:ilvl="0" w:tplc="026C313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89A516E"/>
    <w:multiLevelType w:val="hybridMultilevel"/>
    <w:tmpl w:val="C54A5154"/>
    <w:lvl w:ilvl="0" w:tplc="8FB0EF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7D32BC"/>
    <w:multiLevelType w:val="hybridMultilevel"/>
    <w:tmpl w:val="B8FE68CE"/>
    <w:lvl w:ilvl="0" w:tplc="3FAE592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57E63AB"/>
    <w:multiLevelType w:val="hybridMultilevel"/>
    <w:tmpl w:val="CC7060CE"/>
    <w:lvl w:ilvl="0" w:tplc="26224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F637A2"/>
    <w:multiLevelType w:val="hybridMultilevel"/>
    <w:tmpl w:val="8258CE34"/>
    <w:lvl w:ilvl="0" w:tplc="4D30BCB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901543"/>
    <w:multiLevelType w:val="multilevel"/>
    <w:tmpl w:val="060C41C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7CAD48C0"/>
    <w:multiLevelType w:val="hybridMultilevel"/>
    <w:tmpl w:val="CBC49B10"/>
    <w:lvl w:ilvl="0" w:tplc="38EE7D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57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9CD"/>
    <w:rsid w:val="00052665"/>
    <w:rsid w:val="00060BF0"/>
    <w:rsid w:val="00060F9F"/>
    <w:rsid w:val="00074F0E"/>
    <w:rsid w:val="00087F81"/>
    <w:rsid w:val="000B56F5"/>
    <w:rsid w:val="000C09BB"/>
    <w:rsid w:val="000D15FE"/>
    <w:rsid w:val="000D28DB"/>
    <w:rsid w:val="000D5A51"/>
    <w:rsid w:val="000E1A0C"/>
    <w:rsid w:val="000E2211"/>
    <w:rsid w:val="000E2EF3"/>
    <w:rsid w:val="00104986"/>
    <w:rsid w:val="00106C14"/>
    <w:rsid w:val="001213D2"/>
    <w:rsid w:val="001229C7"/>
    <w:rsid w:val="00131AA2"/>
    <w:rsid w:val="00166098"/>
    <w:rsid w:val="001749D3"/>
    <w:rsid w:val="0018401C"/>
    <w:rsid w:val="00195E4A"/>
    <w:rsid w:val="00196B3B"/>
    <w:rsid w:val="00196CF8"/>
    <w:rsid w:val="001A1948"/>
    <w:rsid w:val="001A4235"/>
    <w:rsid w:val="001D0831"/>
    <w:rsid w:val="001D5CC6"/>
    <w:rsid w:val="001E17C0"/>
    <w:rsid w:val="001E5D93"/>
    <w:rsid w:val="001F0C91"/>
    <w:rsid w:val="001F689D"/>
    <w:rsid w:val="00202554"/>
    <w:rsid w:val="002058C4"/>
    <w:rsid w:val="0022166B"/>
    <w:rsid w:val="0024661D"/>
    <w:rsid w:val="0026037B"/>
    <w:rsid w:val="00262307"/>
    <w:rsid w:val="00296E81"/>
    <w:rsid w:val="002A1E1D"/>
    <w:rsid w:val="002B0749"/>
    <w:rsid w:val="002D1A2E"/>
    <w:rsid w:val="002E4502"/>
    <w:rsid w:val="002F6708"/>
    <w:rsid w:val="00301006"/>
    <w:rsid w:val="003112B2"/>
    <w:rsid w:val="00312843"/>
    <w:rsid w:val="003130B3"/>
    <w:rsid w:val="003372D1"/>
    <w:rsid w:val="00341C52"/>
    <w:rsid w:val="00380485"/>
    <w:rsid w:val="003809EC"/>
    <w:rsid w:val="003A3BD1"/>
    <w:rsid w:val="003A5F24"/>
    <w:rsid w:val="003A625B"/>
    <w:rsid w:val="003A70A1"/>
    <w:rsid w:val="003B015A"/>
    <w:rsid w:val="003D3C8F"/>
    <w:rsid w:val="003E31F7"/>
    <w:rsid w:val="003E730F"/>
    <w:rsid w:val="00412053"/>
    <w:rsid w:val="004124DC"/>
    <w:rsid w:val="00416FB0"/>
    <w:rsid w:val="00425BBC"/>
    <w:rsid w:val="00430665"/>
    <w:rsid w:val="004444AD"/>
    <w:rsid w:val="004515F4"/>
    <w:rsid w:val="004538AB"/>
    <w:rsid w:val="00467020"/>
    <w:rsid w:val="004D15D6"/>
    <w:rsid w:val="004F6FB0"/>
    <w:rsid w:val="00505702"/>
    <w:rsid w:val="00537882"/>
    <w:rsid w:val="0054379F"/>
    <w:rsid w:val="005767CD"/>
    <w:rsid w:val="00580893"/>
    <w:rsid w:val="005838DD"/>
    <w:rsid w:val="005838FF"/>
    <w:rsid w:val="005932A9"/>
    <w:rsid w:val="005971B4"/>
    <w:rsid w:val="005C0649"/>
    <w:rsid w:val="005C0C8C"/>
    <w:rsid w:val="005D36A9"/>
    <w:rsid w:val="0061577B"/>
    <w:rsid w:val="00633A8F"/>
    <w:rsid w:val="00656677"/>
    <w:rsid w:val="00686F37"/>
    <w:rsid w:val="006A6E51"/>
    <w:rsid w:val="006B09C2"/>
    <w:rsid w:val="006D7C96"/>
    <w:rsid w:val="007018ED"/>
    <w:rsid w:val="007024D6"/>
    <w:rsid w:val="00716643"/>
    <w:rsid w:val="007232E2"/>
    <w:rsid w:val="00727F6D"/>
    <w:rsid w:val="00736B54"/>
    <w:rsid w:val="00797BC9"/>
    <w:rsid w:val="007B6948"/>
    <w:rsid w:val="007D34CC"/>
    <w:rsid w:val="007E5422"/>
    <w:rsid w:val="00806E31"/>
    <w:rsid w:val="00831BB8"/>
    <w:rsid w:val="0083496C"/>
    <w:rsid w:val="00835480"/>
    <w:rsid w:val="00837964"/>
    <w:rsid w:val="008455B3"/>
    <w:rsid w:val="008510A2"/>
    <w:rsid w:val="00854815"/>
    <w:rsid w:val="00867BAB"/>
    <w:rsid w:val="00872937"/>
    <w:rsid w:val="00880569"/>
    <w:rsid w:val="008849BC"/>
    <w:rsid w:val="0088581C"/>
    <w:rsid w:val="0089308D"/>
    <w:rsid w:val="008A45EB"/>
    <w:rsid w:val="008A5E45"/>
    <w:rsid w:val="008C171D"/>
    <w:rsid w:val="008C2087"/>
    <w:rsid w:val="008C3C29"/>
    <w:rsid w:val="008C5AE5"/>
    <w:rsid w:val="008D72E1"/>
    <w:rsid w:val="008D79B4"/>
    <w:rsid w:val="008E2FAF"/>
    <w:rsid w:val="008E4D05"/>
    <w:rsid w:val="009003A2"/>
    <w:rsid w:val="009249CD"/>
    <w:rsid w:val="00956AB6"/>
    <w:rsid w:val="00965293"/>
    <w:rsid w:val="00977774"/>
    <w:rsid w:val="0099485F"/>
    <w:rsid w:val="009A1D4C"/>
    <w:rsid w:val="009A3065"/>
    <w:rsid w:val="009C3A1C"/>
    <w:rsid w:val="009F0BC4"/>
    <w:rsid w:val="009F3E90"/>
    <w:rsid w:val="009F7AE5"/>
    <w:rsid w:val="00A06EFD"/>
    <w:rsid w:val="00A1603E"/>
    <w:rsid w:val="00A22AC0"/>
    <w:rsid w:val="00A25E17"/>
    <w:rsid w:val="00A32F24"/>
    <w:rsid w:val="00A34877"/>
    <w:rsid w:val="00A510B3"/>
    <w:rsid w:val="00A569CA"/>
    <w:rsid w:val="00A7433A"/>
    <w:rsid w:val="00A819FE"/>
    <w:rsid w:val="00AA49C7"/>
    <w:rsid w:val="00AB3356"/>
    <w:rsid w:val="00AB5856"/>
    <w:rsid w:val="00AD0FC7"/>
    <w:rsid w:val="00AE042E"/>
    <w:rsid w:val="00AE48F7"/>
    <w:rsid w:val="00AF3AC1"/>
    <w:rsid w:val="00B03AC2"/>
    <w:rsid w:val="00B04E70"/>
    <w:rsid w:val="00B13E42"/>
    <w:rsid w:val="00B151E3"/>
    <w:rsid w:val="00B45FE5"/>
    <w:rsid w:val="00B514ED"/>
    <w:rsid w:val="00B65716"/>
    <w:rsid w:val="00B669BB"/>
    <w:rsid w:val="00B712E5"/>
    <w:rsid w:val="00B73F1B"/>
    <w:rsid w:val="00B76ED3"/>
    <w:rsid w:val="00B7765A"/>
    <w:rsid w:val="00B81416"/>
    <w:rsid w:val="00B91214"/>
    <w:rsid w:val="00BA235D"/>
    <w:rsid w:val="00BC5DB0"/>
    <w:rsid w:val="00BD28D2"/>
    <w:rsid w:val="00BD6C72"/>
    <w:rsid w:val="00BF021D"/>
    <w:rsid w:val="00BF16AD"/>
    <w:rsid w:val="00C10D23"/>
    <w:rsid w:val="00C14702"/>
    <w:rsid w:val="00C22E0D"/>
    <w:rsid w:val="00C237EA"/>
    <w:rsid w:val="00C23F0A"/>
    <w:rsid w:val="00C25AF1"/>
    <w:rsid w:val="00C51CEE"/>
    <w:rsid w:val="00C669E1"/>
    <w:rsid w:val="00C66A52"/>
    <w:rsid w:val="00C703FE"/>
    <w:rsid w:val="00C70763"/>
    <w:rsid w:val="00C762D9"/>
    <w:rsid w:val="00C9579E"/>
    <w:rsid w:val="00CC24BB"/>
    <w:rsid w:val="00CC3A11"/>
    <w:rsid w:val="00CD1415"/>
    <w:rsid w:val="00CE134A"/>
    <w:rsid w:val="00CE5DDA"/>
    <w:rsid w:val="00CE7A22"/>
    <w:rsid w:val="00D02522"/>
    <w:rsid w:val="00D10AD9"/>
    <w:rsid w:val="00D23257"/>
    <w:rsid w:val="00D326E2"/>
    <w:rsid w:val="00D377EC"/>
    <w:rsid w:val="00D477BE"/>
    <w:rsid w:val="00D7241F"/>
    <w:rsid w:val="00D82948"/>
    <w:rsid w:val="00D94106"/>
    <w:rsid w:val="00D97DCA"/>
    <w:rsid w:val="00DA5A94"/>
    <w:rsid w:val="00DB5153"/>
    <w:rsid w:val="00DB7FBE"/>
    <w:rsid w:val="00DD21F5"/>
    <w:rsid w:val="00DE53D8"/>
    <w:rsid w:val="00DF0B75"/>
    <w:rsid w:val="00DF4BAD"/>
    <w:rsid w:val="00E167FC"/>
    <w:rsid w:val="00E23907"/>
    <w:rsid w:val="00E36806"/>
    <w:rsid w:val="00E43366"/>
    <w:rsid w:val="00E60B9D"/>
    <w:rsid w:val="00E6327A"/>
    <w:rsid w:val="00E81068"/>
    <w:rsid w:val="00E8353E"/>
    <w:rsid w:val="00E9317D"/>
    <w:rsid w:val="00E96F90"/>
    <w:rsid w:val="00EB6B79"/>
    <w:rsid w:val="00F06A1B"/>
    <w:rsid w:val="00F1431F"/>
    <w:rsid w:val="00F54852"/>
    <w:rsid w:val="00F76289"/>
    <w:rsid w:val="00F84D2E"/>
    <w:rsid w:val="00F953A2"/>
    <w:rsid w:val="00FA675B"/>
    <w:rsid w:val="00FB017D"/>
    <w:rsid w:val="00FB41CB"/>
    <w:rsid w:val="00FC0D08"/>
    <w:rsid w:val="00FD57C3"/>
    <w:rsid w:val="00FF238B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:contact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B3"/>
    <w:pPr>
      <w:spacing w:before="200" w:line="360" w:lineRule="auto"/>
      <w:ind w:left="578" w:right="-1332" w:hanging="57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36A9"/>
    <w:pPr>
      <w:keepNext/>
      <w:keepLines/>
      <w:numPr>
        <w:numId w:val="7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36A9"/>
    <w:pPr>
      <w:keepNext/>
      <w:keepLines/>
      <w:numPr>
        <w:ilvl w:val="1"/>
        <w:numId w:val="7"/>
      </w:numPr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D36A9"/>
    <w:pPr>
      <w:keepNext/>
      <w:keepLines/>
      <w:numPr>
        <w:ilvl w:val="2"/>
        <w:numId w:val="7"/>
      </w:numPr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6A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22E0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22E0D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C22E0D"/>
    <w:pPr>
      <w:spacing w:line="360" w:lineRule="auto"/>
      <w:ind w:left="578" w:right="-1332" w:hanging="578"/>
      <w:jc w:val="center"/>
    </w:pPr>
    <w:rPr>
      <w:sz w:val="28"/>
      <w:lang w:eastAsia="en-US"/>
    </w:rPr>
  </w:style>
  <w:style w:type="paragraph" w:customStyle="1" w:styleId="11">
    <w:name w:val="Стиль1"/>
    <w:basedOn w:val="1"/>
    <w:uiPriority w:val="99"/>
    <w:rsid w:val="005D36A9"/>
    <w:pPr>
      <w:ind w:left="0" w:firstLine="0"/>
    </w:pPr>
  </w:style>
  <w:style w:type="paragraph" w:customStyle="1" w:styleId="21">
    <w:name w:val="Стиль2"/>
    <w:basedOn w:val="a3"/>
    <w:uiPriority w:val="99"/>
    <w:rsid w:val="005D36A9"/>
  </w:style>
  <w:style w:type="paragraph" w:customStyle="1" w:styleId="31">
    <w:name w:val="Стиль3"/>
    <w:basedOn w:val="1"/>
    <w:uiPriority w:val="99"/>
    <w:rsid w:val="005D36A9"/>
    <w:pPr>
      <w:numPr>
        <w:numId w:val="0"/>
      </w:numPr>
    </w:pPr>
  </w:style>
  <w:style w:type="paragraph" w:customStyle="1" w:styleId="4">
    <w:name w:val="Стиль4"/>
    <w:basedOn w:val="2"/>
    <w:uiPriority w:val="99"/>
    <w:rsid w:val="005D36A9"/>
    <w:pPr>
      <w:numPr>
        <w:ilvl w:val="0"/>
        <w:numId w:val="0"/>
      </w:numPr>
    </w:pPr>
  </w:style>
  <w:style w:type="paragraph" w:customStyle="1" w:styleId="5">
    <w:name w:val="Стиль5"/>
    <w:basedOn w:val="3"/>
    <w:uiPriority w:val="99"/>
    <w:rsid w:val="005D36A9"/>
    <w:pPr>
      <w:numPr>
        <w:ilvl w:val="0"/>
        <w:numId w:val="0"/>
      </w:numPr>
    </w:pPr>
  </w:style>
  <w:style w:type="paragraph" w:styleId="a4">
    <w:name w:val="List Paragraph"/>
    <w:basedOn w:val="a"/>
    <w:uiPriority w:val="99"/>
    <w:qFormat/>
    <w:rsid w:val="00B712E5"/>
    <w:pPr>
      <w:spacing w:before="0" w:after="200" w:line="276" w:lineRule="auto"/>
      <w:ind w:left="720" w:right="0" w:firstLine="0"/>
      <w:contextualSpacing/>
      <w:jc w:val="left"/>
    </w:pPr>
  </w:style>
  <w:style w:type="paragraph" w:styleId="a5">
    <w:name w:val="Body Text"/>
    <w:basedOn w:val="a"/>
    <w:link w:val="a6"/>
    <w:uiPriority w:val="99"/>
    <w:rsid w:val="00B712E5"/>
    <w:pPr>
      <w:spacing w:before="0" w:after="120" w:line="276" w:lineRule="auto"/>
      <w:ind w:left="0" w:right="0" w:firstLine="0"/>
      <w:jc w:val="left"/>
    </w:pPr>
  </w:style>
  <w:style w:type="character" w:customStyle="1" w:styleId="a6">
    <w:name w:val="Основной текст Знак"/>
    <w:basedOn w:val="a0"/>
    <w:link w:val="a5"/>
    <w:uiPriority w:val="99"/>
    <w:locked/>
    <w:rsid w:val="00B712E5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DF0B7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0B75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rsid w:val="00DF0B7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DF0B75"/>
    <w:rPr>
      <w:rFonts w:cs="Times New Roman"/>
    </w:rPr>
  </w:style>
  <w:style w:type="paragraph" w:styleId="a9">
    <w:name w:val="header"/>
    <w:basedOn w:val="a"/>
    <w:link w:val="aa"/>
    <w:uiPriority w:val="99"/>
    <w:rsid w:val="008548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4815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semiHidden/>
    <w:rsid w:val="008548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54815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_____Microsoft_Office_Excel_97-20033.xls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oleObject" Target="embeddings/____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37</Pages>
  <Words>7879</Words>
  <Characters>54858</Characters>
  <Application>Microsoft Office Word</Application>
  <DocSecurity>0</DocSecurity>
  <Lines>457</Lines>
  <Paragraphs>125</Paragraphs>
  <ScaleCrop>false</ScaleCrop>
  <Company>Reanimator Extreme Edition</Company>
  <LinksUpToDate>false</LinksUpToDate>
  <CharactersWithSpaces>62612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Admin</cp:lastModifiedBy>
  <cp:revision>40</cp:revision>
  <dcterms:created xsi:type="dcterms:W3CDTF">2013-03-31T15:15:00Z</dcterms:created>
  <dcterms:modified xsi:type="dcterms:W3CDTF">2013-04-05T08:58:00Z</dcterms:modified>
</cp:coreProperties>
</file>